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bCs/>
          <w:color w:val="auto"/>
          <w:kern w:val="36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36"/>
          <w:sz w:val="44"/>
          <w:szCs w:val="44"/>
          <w:lang w:val="en-US" w:eastAsia="zh-CN"/>
        </w:rPr>
        <w:t>德兴市2024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36"/>
          <w:sz w:val="44"/>
          <w:szCs w:val="44"/>
        </w:rPr>
        <w:t>年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36"/>
          <w:sz w:val="44"/>
          <w:szCs w:val="44"/>
          <w:lang w:eastAsia="zh-CN"/>
        </w:rPr>
        <w:t>成品油价格调整对渔业补助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bCs/>
          <w:color w:val="auto"/>
          <w:kern w:val="36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36"/>
          <w:sz w:val="44"/>
          <w:szCs w:val="44"/>
          <w:lang w:eastAsia="zh-CN"/>
        </w:rPr>
        <w:t>预算项目实施方案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上饶市财政局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《关于下达202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年成品油价格调整对渔业补助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资金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的通知》（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饶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财农指〔202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〕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号）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上饶市农业农村局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《关于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印发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202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年成品油价格调整对渔业补助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预算项目实施方案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的通知》（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饶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农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字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〔202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〕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号）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eastAsia="zh-CN"/>
        </w:rPr>
        <w:t>精神，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2024年已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德兴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eastAsia="zh-CN"/>
        </w:rPr>
        <w:t>市成品油价格调整对渔业补助预算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123万元，为落实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好项目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eastAsia="zh-CN"/>
        </w:rPr>
        <w:t>实施工作，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结合工作实际，特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eastAsia="zh-CN"/>
        </w:rPr>
        <w:t>制定本方案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Times New Roman" w:hAnsi="Times New Roman" w:eastAsia="黑体" w:cs="Times New Roman"/>
          <w:bCs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color w:val="auto"/>
          <w:kern w:val="36"/>
          <w:sz w:val="32"/>
          <w:szCs w:val="32"/>
          <w:lang w:val="en-US" w:eastAsia="zh-CN" w:bidi="ar-SA"/>
        </w:rPr>
        <w:t>一、总体要求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《财政部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农业农村部关于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实施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渔业发展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支持政策推动渔业高质量发展的通知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》（财农〔2021〕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《江西省财政厅 江西省农业农村厅关于印发〈中央财政渔业发展补助资金管理办法实施细则〉的通知》（赣财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eastAsia="zh-CN"/>
        </w:rPr>
        <w:t>农〔2021〕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  <w:t>14号）等文件要求，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渔业现代化建设为目标、渔业渔政高质量发展为主线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坚持“聚焦特色、集中使用、扶优产业”理念，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一体推进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水产品稳产保供、绿色健康养殖、水产种业能力提升、水生生物保护等重点工作，不断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满足人民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群众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对优质水产品和优美水域生态环境的需求。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rPr>
          <w:rFonts w:hint="eastAsia" w:ascii="Times New Roman" w:hAnsi="Times New Roman" w:eastAsia="黑体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bCs/>
          <w:color w:val="auto"/>
          <w:kern w:val="36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/>
          <w:bCs/>
          <w:color w:val="auto"/>
          <w:kern w:val="36"/>
          <w:sz w:val="32"/>
          <w:szCs w:val="32"/>
        </w:rPr>
        <w:t>、</w:t>
      </w:r>
      <w:r>
        <w:rPr>
          <w:rFonts w:hint="eastAsia" w:ascii="Times New Roman" w:hAnsi="Times New Roman" w:eastAsia="黑体"/>
          <w:bCs/>
          <w:color w:val="auto"/>
          <w:kern w:val="36"/>
          <w:sz w:val="32"/>
          <w:szCs w:val="32"/>
          <w:lang w:eastAsia="zh-CN"/>
        </w:rPr>
        <w:t>实施内容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rPr>
          <w:rFonts w:hint="default" w:ascii="Times New Roman" w:hAnsi="Times New Roman" w:eastAsia="仿宋_GB2312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县级分配资金：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我市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共安排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123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万元，主要用于</w:t>
      </w:r>
      <w:r>
        <w:rPr>
          <w:rFonts w:hint="eastAsia" w:ascii="Times New Roman" w:hAnsi="Times New Roman" w:eastAsia="仿宋_GB2312"/>
          <w:b w:val="0"/>
          <w:bCs/>
          <w:color w:val="auto"/>
          <w:kern w:val="36"/>
          <w:sz w:val="32"/>
          <w:szCs w:val="32"/>
          <w:lang w:val="en-US" w:eastAsia="zh-CN"/>
        </w:rPr>
        <w:t>水产养殖现代渔业设施建设、工厂化水产养殖基地建设。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支持持有《水域滩涂养殖证》或其他权属证明，合法注册、具备相关能力条件的渔业生产经营主体，新建、改造、升级特色水产健康养殖基地。对池塘工程化循环水养殖和设施渔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</w:rPr>
        <w:t>业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  <w:lang w:val="en-US" w:eastAsia="zh-CN"/>
        </w:rPr>
        <w:t>钢棚、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  <w:lang w:eastAsia="zh-CN"/>
        </w:rPr>
        <w:t>圈养桶或水池）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36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36"/>
          <w:sz w:val="32"/>
          <w:szCs w:val="32"/>
          <w:lang w:val="en-US" w:eastAsia="zh-CN"/>
        </w:rPr>
        <w:t>现代渔业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  <w:lang w:eastAsia="zh-CN"/>
        </w:rPr>
        <w:t>设施设备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36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color w:val="auto"/>
          <w:w w:val="98"/>
          <w:kern w:val="36"/>
          <w:sz w:val="32"/>
          <w:szCs w:val="32"/>
        </w:rPr>
        <w:t>采取先建后补，补助标准</w:t>
      </w:r>
      <w:r>
        <w:rPr>
          <w:rFonts w:hint="eastAsia" w:ascii="Times New Roman" w:hAnsi="Times New Roman" w:eastAsia="仿宋_GB2312"/>
          <w:color w:val="auto"/>
          <w:w w:val="98"/>
          <w:kern w:val="36"/>
          <w:sz w:val="32"/>
          <w:szCs w:val="32"/>
          <w:lang w:eastAsia="zh-CN"/>
        </w:rPr>
        <w:t>不超过</w:t>
      </w:r>
      <w:r>
        <w:rPr>
          <w:rFonts w:hint="eastAsia" w:ascii="Times New Roman" w:hAnsi="Times New Roman" w:eastAsia="仿宋_GB2312"/>
          <w:color w:val="auto"/>
          <w:w w:val="98"/>
          <w:kern w:val="36"/>
          <w:sz w:val="32"/>
          <w:szCs w:val="32"/>
        </w:rPr>
        <w:t>新增</w:t>
      </w:r>
      <w:r>
        <w:rPr>
          <w:rFonts w:hint="eastAsia" w:ascii="Times New Roman" w:hAnsi="Times New Roman" w:eastAsia="仿宋_GB2312"/>
          <w:color w:val="auto"/>
          <w:w w:val="98"/>
          <w:kern w:val="36"/>
          <w:sz w:val="32"/>
          <w:szCs w:val="32"/>
          <w:lang w:eastAsia="zh-CN"/>
        </w:rPr>
        <w:t>养殖设施设备</w:t>
      </w:r>
      <w:r>
        <w:rPr>
          <w:rFonts w:hint="eastAsia" w:ascii="Times New Roman" w:hAnsi="Times New Roman" w:eastAsia="仿宋_GB2312"/>
          <w:color w:val="auto"/>
          <w:w w:val="98"/>
          <w:kern w:val="36"/>
          <w:sz w:val="32"/>
          <w:szCs w:val="32"/>
        </w:rPr>
        <w:t>总投入的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</w:rPr>
        <w:t>％，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  <w:lang w:eastAsia="zh-CN"/>
        </w:rPr>
        <w:t>单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</w:rPr>
        <w:t>个项目补助总额不超过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  <w:lang w:val="en-US" w:eastAsia="zh-CN"/>
        </w:rPr>
        <w:t>200</w:t>
      </w:r>
      <w:r>
        <w:rPr>
          <w:rFonts w:hint="eastAsia" w:ascii="Times New Roman" w:hAnsi="Times New Roman" w:eastAsia="仿宋_GB2312"/>
          <w:color w:val="auto"/>
          <w:kern w:val="36"/>
          <w:sz w:val="32"/>
          <w:szCs w:val="32"/>
        </w:rPr>
        <w:t>万元。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baseline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/>
          <w:bCs/>
          <w:color w:val="auto"/>
          <w:kern w:val="36"/>
          <w:sz w:val="32"/>
          <w:szCs w:val="32"/>
          <w:lang w:val="en-US" w:eastAsia="zh-CN" w:bidi="ar-SA"/>
        </w:rPr>
        <w:t>（一）加强领导，确保监管有力。</w:t>
      </w:r>
      <w:r>
        <w:rPr>
          <w:rFonts w:hint="eastAsia" w:ascii="Times New Roman" w:hAnsi="Times New Roman" w:eastAsia="楷体" w:cs="楷体"/>
          <w:b w:val="0"/>
          <w:bCs w:val="0"/>
          <w:color w:val="auto"/>
          <w:kern w:val="36"/>
          <w:sz w:val="32"/>
          <w:szCs w:val="32"/>
          <w:lang w:val="en-US" w:eastAsia="zh-CN" w:bidi="ar-SA"/>
        </w:rPr>
        <w:t>2024年我市</w:t>
      </w:r>
      <w:r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eastAsia="zh-CN"/>
        </w:rPr>
        <w:t>成品油价格调整对渔业补助预算项目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实施任务重、时间紧、要求高，要切实加强项目实施工作的组织领导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lang w:eastAsia="zh-CN"/>
        </w:rPr>
        <w:t>明确项目责任人，细化责任分工，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</w:rPr>
        <w:t>落实工作措施。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密切与财政部门工作会商，科学统筹，制定具体实施方案，明确资金使用方向、项目主体选择、实施内容、项目进度、预期指标、监督检查、资金拨付等具体内容和要求，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要结合产业发展需要，严把项目申报关，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加强工作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监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督和指导，建立项目建设定期调度和通报制度，适时开展专项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检查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，及时抓好整改落实，确保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项目建设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质量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Times New Roman" w:hAnsi="Times New Roman" w:eastAsia="楷体" w:cs="楷体"/>
          <w:b/>
          <w:bCs/>
          <w:color w:val="auto"/>
          <w:kern w:val="36"/>
          <w:sz w:val="32"/>
          <w:szCs w:val="32"/>
          <w:lang w:val="en-US" w:eastAsia="zh-CN" w:bidi="ar-SA"/>
        </w:rPr>
        <w:t>（二）规范程序、确保实施有序。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项目申报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采取企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业（合作社）自主申报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、县（市）级渔业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主管部门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考察审核、验收，市级渔业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主管部门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审定、批复的方式。</w:t>
      </w:r>
      <w:r>
        <w:rPr>
          <w:rFonts w:hint="eastAsia" w:ascii="Times New Roman" w:hAnsi="Times New Roman" w:eastAsia="仿宋_GB2312"/>
          <w:b/>
          <w:bCs w:val="0"/>
          <w:color w:val="auto"/>
          <w:kern w:val="36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仿宋_GB2312"/>
          <w:b w:val="0"/>
          <w:bCs/>
          <w:color w:val="auto"/>
          <w:kern w:val="36"/>
          <w:sz w:val="32"/>
          <w:szCs w:val="32"/>
          <w:lang w:eastAsia="zh-CN"/>
        </w:rPr>
        <w:t>我市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</w:rPr>
        <w:t>渔业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行政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val="en-US" w:eastAsia="zh-CN"/>
        </w:rPr>
        <w:t>下达项目实施方案，乡镇（街道）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组织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辖区内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渔业养殖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（合作社）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（优先考虑储备库企业）自主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申报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渔业养殖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企业（合作社）向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县（市）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渔业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行政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主管部门提交项目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申报书（见附件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申报书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包括项目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申报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单位基本情况介绍（并附相关资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</w:rPr>
        <w:t>质证明材料）、项目主要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</w:rPr>
        <w:t>建设内容、投资概算、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  <w:lang w:eastAsia="zh-CN"/>
        </w:rPr>
        <w:t>施工设计图纸、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</w:rPr>
        <w:t>项目建成后预期效益等。</w:t>
      </w:r>
      <w:r>
        <w:rPr>
          <w:rFonts w:hint="eastAsia" w:ascii="Times New Roman" w:hAnsi="Times New Roman" w:eastAsia="仿宋_GB2312" w:cs="仿宋_GB2312"/>
          <w:b/>
          <w:bCs w:val="0"/>
          <w:color w:val="auto"/>
          <w:kern w:val="36"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  <w:lang w:eastAsia="zh-CN"/>
        </w:rPr>
        <w:t>县（市）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</w:rPr>
        <w:t>渔业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  <w:lang w:eastAsia="zh-CN"/>
        </w:rPr>
        <w:t>行政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</w:rPr>
        <w:t>主管部门认真审核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渔业养殖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</w:rPr>
        <w:t>企业（合作社）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</w:rPr>
        <w:t>申报材料，并到企业或合作社现场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  <w:lang w:eastAsia="zh-CN"/>
        </w:rPr>
        <w:t>考察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</w:rPr>
        <w:t>申报条件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确保项目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</w:rPr>
        <w:t>申报主体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具备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</w:rPr>
        <w:t>项目需求和实施能力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，同时应组织专家对项目申报单位编制的项目申报书进行评审，择优确定项目实施单位，并行文向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val="en-US" w:eastAsia="zh-CN"/>
        </w:rPr>
        <w:t>上饶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市渔业行政主管部门申报。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原则上单个主体可申报不同支持方向的项目，实施内容不可交叉重叠。</w:t>
      </w:r>
      <w:r>
        <w:rPr>
          <w:rFonts w:hint="eastAsia" w:ascii="Times New Roman" w:hAnsi="Times New Roman" w:eastAsia="仿宋_GB2312" w:cs="仿宋_GB2312"/>
          <w:b/>
          <w:bCs w:val="0"/>
          <w:color w:val="auto"/>
          <w:kern w:val="36"/>
          <w:sz w:val="32"/>
          <w:szCs w:val="32"/>
          <w:lang w:eastAsia="zh-CN"/>
        </w:rPr>
        <w:t>三是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t>上饶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市渔业行政主管部门对项目进行审核、公示，审定项目实施单位，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</w:rPr>
        <w:t>批复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</w:rPr>
        <w:t>建设内容。</w:t>
      </w:r>
      <w:r>
        <w:rPr>
          <w:rFonts w:hint="eastAsia" w:ascii="Times New Roman" w:hAnsi="Times New Roman" w:eastAsia="仿宋_GB2312" w:cs="仿宋_GB2312"/>
          <w:b/>
          <w:bCs w:val="0"/>
          <w:color w:val="auto"/>
          <w:kern w:val="36"/>
          <w:sz w:val="32"/>
          <w:szCs w:val="32"/>
          <w:lang w:eastAsia="zh-CN"/>
        </w:rPr>
        <w:t>四是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要遵守项目验收纪律，严格遴选相关第三方专家，组织科学、有效地验收工作。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val="en-US" w:eastAsia="zh-CN"/>
        </w:rPr>
        <w:t>上饶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市渔业行政主管部门对项目进行抽查验收。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/>
          <w:bCs/>
          <w:color w:val="auto"/>
          <w:kern w:val="36"/>
          <w:sz w:val="32"/>
          <w:szCs w:val="32"/>
          <w:lang w:val="en-US" w:eastAsia="zh-CN" w:bidi="ar-SA"/>
        </w:rPr>
        <w:t>（三）加强指导，确保序时推进。</w:t>
      </w:r>
      <w:r>
        <w:rPr>
          <w:rFonts w:hint="eastAsia" w:ascii="Times New Roman" w:hAnsi="Times New Roman" w:eastAsia="楷体" w:cs="楷体"/>
          <w:b w:val="0"/>
          <w:bCs w:val="0"/>
          <w:color w:val="auto"/>
          <w:kern w:val="36"/>
          <w:sz w:val="32"/>
          <w:szCs w:val="32"/>
          <w:lang w:val="en-US" w:eastAsia="zh-CN" w:bidi="ar-SA"/>
        </w:rPr>
        <w:t>县（市）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渔业行政主管部门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val="en-US" w:eastAsia="zh-CN"/>
        </w:rPr>
        <w:t>及相关部门要有针对性地开展技术指导、培训和信息服务，建立经常性联系，及时帮助解决项目工程实施过程中的实际难题，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确保项目建设进度和资金拨付达到序时进度。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县（市）级</w:t>
      </w: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  <w:lang w:val="en-US" w:eastAsia="zh-CN" w:bidi="ar-SA"/>
        </w:rPr>
        <w:t>申请批复正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式行文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val="en-US" w:eastAsia="zh-CN"/>
        </w:rPr>
        <w:t>《渔业补</w:t>
      </w: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  <w:lang w:val="en-US" w:eastAsia="zh-CN" w:bidi="ar-SA"/>
        </w:rPr>
        <w:t>助预算项目备案表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（见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2）》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及实施单位项目申报书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前上报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上饶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渔业行政主管部门。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完成项目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eastAsia="zh-CN"/>
        </w:rPr>
        <w:t>审核、公示、审定、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</w:rPr>
        <w:t>批复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36"/>
          <w:sz w:val="32"/>
          <w:szCs w:val="32"/>
          <w:lang w:val="en-US" w:eastAsia="zh-CN"/>
        </w:rPr>
        <w:t>工作，</w:t>
      </w:r>
      <w:r>
        <w:rPr>
          <w:rFonts w:hint="eastAsia" w:ascii="Times New Roman" w:hAnsi="Times New Roman" w:eastAsia="仿宋_GB2312" w:cs="仿宋_GB2312"/>
          <w:bCs/>
          <w:color w:val="auto"/>
          <w:kern w:val="36"/>
          <w:sz w:val="32"/>
          <w:szCs w:val="32"/>
          <w:lang w:val="en-US" w:eastAsia="zh-CN"/>
        </w:rPr>
        <w:t>11月底前完成项目验收，12月底前完成项目资金拨付。并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落实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资金项目季报制度，每季度末月2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日前向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上饶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农业农村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渔业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渔政科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报送项目工作进展情况，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2025年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1月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日前报送全年项目实施情况、资金使用情况、绩效目标完成情况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，并于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2025年2月25日前报送完整绩效自评材料。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b/>
          <w:bCs/>
          <w:color w:val="auto"/>
          <w:kern w:val="36"/>
          <w:sz w:val="32"/>
          <w:szCs w:val="32"/>
          <w:lang w:val="en-US" w:eastAsia="zh-CN" w:bidi="ar-SA"/>
        </w:rPr>
        <w:t>（四）严格监管，确保资金安全。</w:t>
      </w:r>
      <w:r>
        <w:rPr>
          <w:rFonts w:hint="eastAsia" w:ascii="Times New Roman" w:hAnsi="Times New Roman" w:eastAsia="楷体" w:cs="楷体"/>
          <w:b w:val="0"/>
          <w:bCs w:val="0"/>
          <w:color w:val="auto"/>
          <w:kern w:val="36"/>
          <w:sz w:val="32"/>
          <w:szCs w:val="32"/>
          <w:lang w:val="en-US" w:eastAsia="zh-CN" w:bidi="ar-SA"/>
        </w:rPr>
        <w:t>县（市）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渔业行政主管部门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要积极配合财政部门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eastAsia="zh-CN"/>
        </w:rPr>
        <w:t>做好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项目绩效考核，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加强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对项目资金使用的监管和审计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严防骗取、套取、贪污、挤占、挪用项目补助资金等违法行为。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要严格履行资金拨付相关程序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指导和督促项目单位规范财务管理，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确保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资金使用符合支出范围，会计核算资料规范、齐全、有效。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  <w:lang w:val="en-US" w:eastAsia="zh-CN" w:bidi="ar-SA"/>
        </w:rPr>
        <w:t>项目申报书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358" w:firstLineChars="441"/>
        <w:jc w:val="both"/>
        <w:rPr>
          <w:rFonts w:hint="eastAsia" w:ascii="Times New Roman" w:hAnsi="Times New Roman" w:eastAsia="仿宋_GB2312"/>
          <w:bCs/>
          <w:color w:val="auto"/>
          <w:spacing w:val="-11"/>
          <w:kern w:val="3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-6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eastAsia="仿宋_GB2312" w:cs="宋体"/>
          <w:color w:val="auto"/>
          <w:spacing w:val="-11"/>
          <w:kern w:val="2"/>
          <w:sz w:val="32"/>
          <w:szCs w:val="32"/>
          <w:lang w:val="en-US" w:eastAsia="zh-CN" w:bidi="ar-SA"/>
        </w:rPr>
        <w:t>2024年成品油价格调整对渔业补助预算项目备案表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280" w:firstLineChars="40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</w:rPr>
        <w:t>成品油价格调整对渔业补助预算绩效目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lang w:eastAsia="zh-CN"/>
        </w:rPr>
        <w:t>标表</w:t>
      </w:r>
    </w:p>
    <w:p>
      <w:pPr>
        <w:widowControl w:val="0"/>
        <w:wordWrap/>
        <w:adjustRightInd/>
        <w:snapToGrid/>
        <w:spacing w:before="0" w:after="0" w:line="540" w:lineRule="exact"/>
        <w:ind w:left="1916" w:leftChars="760" w:right="0" w:hanging="320" w:hangingChars="10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宋体"/>
          <w:color w:val="auto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pStyle w:val="10"/>
        <w:wordWrap/>
        <w:adjustRightInd/>
        <w:snapToGrid/>
        <w:spacing w:line="560" w:lineRule="exact"/>
        <w:rPr>
          <w:rFonts w:hint="eastAsia" w:ascii="Times New Roman" w:hAnsi="Times New Roman"/>
          <w:color w:val="auto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7" w:right="1587" w:bottom="1587" w:left="1587" w:header="851" w:footer="1587" w:gutter="0"/>
          <w:pgNumType w:fmt="numberInDash"/>
          <w:cols w:space="0" w:num="1"/>
          <w:rtlGutter w:val="0"/>
          <w:docGrid w:type="lines" w:linePitch="318" w:charSpace="0"/>
        </w:sectPr>
      </w:pPr>
    </w:p>
    <w:p>
      <w:pPr>
        <w:pStyle w:val="2"/>
        <w:rPr>
          <w:rFonts w:hint="default" w:ascii="Times New Roman" w:hAnsi="Times New Roman" w:eastAsia="黑体" w:cs="黑体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Cs/>
          <w:color w:val="auto"/>
          <w:kern w:val="36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Cs/>
          <w:color w:val="auto"/>
          <w:kern w:val="36"/>
          <w:sz w:val="32"/>
          <w:szCs w:val="32"/>
          <w:lang w:val="en-US" w:eastAsia="zh-CN"/>
        </w:rPr>
        <w:t>1</w:t>
      </w: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both"/>
        <w:rPr>
          <w:rFonts w:ascii="Times New Roman" w:hAnsi="Times New Roman" w:eastAsia="黑体" w:cs="Times New Roman"/>
          <w:b/>
          <w:bCs/>
          <w:color w:val="auto"/>
          <w:sz w:val="48"/>
          <w:szCs w:val="48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52"/>
          <w:szCs w:val="52"/>
        </w:rPr>
        <w:t>项  目  申  报  书</w:t>
      </w: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8"/>
          <w:szCs w:val="48"/>
          <w:lang w:val="en-US" w:eastAsia="zh-CN"/>
        </w:rPr>
        <w:t>（2024年渔业油价补助）</w:t>
      </w: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rFonts w:ascii="Times New Roman" w:hAnsi="Times New Roman" w:cs="Times New Roman"/>
          <w:sz w:val="21"/>
          <w:szCs w:val="21"/>
        </w:rPr>
      </w:pPr>
    </w:p>
    <w:p>
      <w:pPr>
        <w:pStyle w:val="12"/>
        <w:widowControl/>
        <w:tabs>
          <w:tab w:val="left" w:pos="420"/>
          <w:tab w:val="left" w:pos="765"/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="1405" w:firstLineChars="50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 xml:space="preserve">项目名称：               </w:t>
      </w:r>
    </w:p>
    <w:p>
      <w:pPr>
        <w:pStyle w:val="12"/>
        <w:widowControl/>
        <w:tabs>
          <w:tab w:val="left" w:pos="420"/>
          <w:tab w:val="left" w:pos="765"/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="1405" w:firstLineChars="500"/>
        <w:rPr>
          <w:rFonts w:ascii="Times New Roman" w:hAnsi="Times New Roman" w:cs="Times New Roman"/>
          <w:color w:val="000000"/>
          <w:sz w:val="28"/>
          <w:szCs w:val="28"/>
          <w:shd w:val="clear" w:color="auto" w:fill="800000"/>
        </w:rPr>
      </w:pP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实施</w:t>
      </w:r>
      <w:r>
        <w:rPr>
          <w:rFonts w:hint="eastAsia" w:ascii="Times New Roman" w:hAnsi="Times New Roman"/>
          <w:b/>
          <w:bCs/>
          <w:sz w:val="28"/>
          <w:szCs w:val="28"/>
        </w:rPr>
        <w:t>单位：</w:t>
      </w:r>
    </w:p>
    <w:p>
      <w:pPr>
        <w:pStyle w:val="12"/>
        <w:widowControl/>
        <w:tabs>
          <w:tab w:val="left" w:pos="420"/>
          <w:tab w:val="left" w:pos="765"/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="1405" w:firstLineChars="5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主管部门：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7"/>
        <w:tblW w:w="8789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18" w:type="dxa"/>
        </w:tblCellMar>
      </w:tblPr>
      <w:tblGrid>
        <w:gridCol w:w="590"/>
        <w:gridCol w:w="6"/>
        <w:gridCol w:w="2"/>
        <w:gridCol w:w="1766"/>
        <w:gridCol w:w="2125"/>
        <w:gridCol w:w="1646"/>
        <w:gridCol w:w="528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18" w:type="dxa"/>
          </w:tblCellMar>
        </w:tblPrEx>
        <w:trPr>
          <w:trHeight w:val="694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</w:rPr>
              <w:t>负责人姓名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8" w:type="dxa"/>
            </w:tcMar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18" w:type="dxa"/>
          </w:tblCellMar>
        </w:tblPrEx>
        <w:trPr>
          <w:trHeight w:val="638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hint="default" w:ascii="Times New Roman" w:hAnsi="Times New Roman" w:eastAsia="宋体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建设地点</w:t>
            </w:r>
          </w:p>
        </w:tc>
        <w:tc>
          <w:tcPr>
            <w:tcW w:w="6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8" w:type="dxa"/>
            </w:tcMar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18" w:type="dxa"/>
          </w:tblCellMar>
        </w:tblPrEx>
        <w:trPr>
          <w:trHeight w:val="638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hint="eastAsia" w:ascii="Times New Roman" w:hAnsi="Times New Roman" w:eastAsia="宋体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eastAsia="zh-CN"/>
              </w:rPr>
              <w:t>财政补助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8" w:type="dxa"/>
            </w:tcMar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hint="eastAsia" w:ascii="Times New Roman" w:hAnsi="Times New Roman" w:eastAsia="宋体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eastAsia="zh-CN"/>
              </w:rPr>
              <w:t>自筹资金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18" w:type="dxa"/>
          </w:tblCellMar>
        </w:tblPrEx>
        <w:trPr>
          <w:trHeight w:val="3580" w:hRule="atLeast"/>
        </w:trPr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 xml:space="preserve"> 立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 xml:space="preserve"> 项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 xml:space="preserve"> 依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darkRed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 xml:space="preserve"> 据</w:t>
            </w:r>
          </w:p>
        </w:tc>
        <w:tc>
          <w:tcPr>
            <w:tcW w:w="8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darkRe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18" w:type="dxa"/>
          </w:tblCellMar>
        </w:tblPrEx>
        <w:trPr>
          <w:trHeight w:val="2757" w:hRule="atLeast"/>
        </w:trPr>
        <w:tc>
          <w:tcPr>
            <w:tcW w:w="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项目     内容</w:t>
            </w:r>
          </w:p>
        </w:tc>
        <w:tc>
          <w:tcPr>
            <w:tcW w:w="8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18" w:type="dxa"/>
          </w:tblCellMar>
        </w:tblPrEx>
        <w:trPr>
          <w:trHeight w:val="3728" w:hRule="atLeast"/>
        </w:trPr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hint="eastAsia" w:ascii="Times New Roman" w:hAnsi="Times New Roman"/>
                <w:sz w:val="26"/>
                <w:szCs w:val="26"/>
                <w:lang w:eastAsia="zh-CN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  <w:lang w:eastAsia="zh-CN"/>
              </w:rPr>
              <w:t>总体</w:t>
            </w:r>
            <w:r>
              <w:rPr>
                <w:rFonts w:hint="eastAsia" w:ascii="Times New Roman" w:hAnsi="Times New Roman"/>
                <w:sz w:val="26"/>
                <w:szCs w:val="26"/>
              </w:rPr>
              <w:t>绩效目标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18" w:type="dxa"/>
          </w:tblCellMar>
        </w:tblPrEx>
        <w:trPr>
          <w:trHeight w:val="619" w:hRule="atLeast"/>
        </w:trPr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实施计划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00" w:firstLineChars="200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darkRe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18" w:type="dxa"/>
          </w:tblCellMar>
        </w:tblPrEx>
        <w:trPr>
          <w:trHeight w:val="563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  <w:lang w:eastAsia="zh-CN"/>
              </w:rPr>
              <w:t>投资</w:t>
            </w:r>
            <w:r>
              <w:rPr>
                <w:rFonts w:hint="eastAsia" w:ascii="Times New Roman" w:hAnsi="Times New Roman"/>
                <w:sz w:val="26"/>
                <w:szCs w:val="26"/>
              </w:rPr>
              <w:t>测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算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依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据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及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说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明</w:t>
            </w:r>
          </w:p>
        </w:tc>
        <w:tc>
          <w:tcPr>
            <w:tcW w:w="8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8" w:type="dxa"/>
            </w:tcMar>
            <w:vAlign w:val="top"/>
          </w:tcPr>
          <w:p>
            <w:pPr>
              <w:widowControl/>
              <w:tabs>
                <w:tab w:val="left" w:pos="2380"/>
              </w:tabs>
              <w:spacing w:line="360" w:lineRule="auto"/>
              <w:jc w:val="left"/>
              <w:rPr>
                <w:rFonts w:ascii="Times New Roman" w:hAnsi="Times New Roman" w:eastAsia="宋体" w:cs="宋体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cs="宋体"/>
                <w:b/>
                <w:color w:val="FF0000"/>
                <w:sz w:val="24"/>
                <w:szCs w:val="24"/>
                <w:shd w:val="clear" w:color="auto" w:fill="FFFFFF"/>
                <w:lang w:eastAsia="zh-CN"/>
              </w:rPr>
              <w:t>例：</w:t>
            </w:r>
            <w:r>
              <w:rPr>
                <w:rFonts w:hint="eastAsia" w:ascii="Times New Roman" w:hAnsi="Times New Roman" w:eastAsia="宋体" w:cs="宋体"/>
                <w:b/>
                <w:color w:val="FF0000"/>
                <w:sz w:val="24"/>
                <w:szCs w:val="24"/>
                <w:shd w:val="clear" w:color="auto" w:fill="FFFFFF"/>
              </w:rPr>
              <w:t>项目预算为</w:t>
            </w:r>
            <w:r>
              <w:rPr>
                <w:rFonts w:hint="eastAsia" w:ascii="Times New Roman" w:hAnsi="Times New Roman" w:cs="宋体"/>
                <w:b/>
                <w:color w:val="FF0000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宋体" w:cs="宋体"/>
                <w:b/>
                <w:color w:val="FF0000"/>
                <w:sz w:val="24"/>
                <w:szCs w:val="24"/>
                <w:shd w:val="clear" w:color="auto" w:fill="FFFFFF"/>
              </w:rPr>
              <w:t>0万元，其中财政经费100万元，具体测算如下：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</w:rPr>
              <w:t>1、温棚建设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/>
                <w:color w:val="FF0000"/>
              </w:rPr>
              <w:t>0亩：50万元。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</w:rPr>
              <w:t>主要用于罗氏沼虾养殖池温棚建设，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25</w:t>
            </w:r>
            <w:r>
              <w:rPr>
                <w:rFonts w:hint="eastAsia" w:ascii="Times New Roman" w:hAnsi="Times New Roman"/>
                <w:b/>
                <w:color w:val="FF0000"/>
              </w:rPr>
              <w:t>000元/亩×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/>
                <w:color w:val="FF0000"/>
              </w:rPr>
              <w:t>0亩=50万元。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</w:rPr>
              <w:t>2、锅炉棚建设：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30</w:t>
            </w:r>
            <w:r>
              <w:rPr>
                <w:rFonts w:hint="eastAsia" w:ascii="Times New Roman" w:hAnsi="Times New Roman"/>
                <w:b/>
                <w:color w:val="FF0000"/>
              </w:rPr>
              <w:t>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</w:rPr>
              <w:t>主要用于</w:t>
            </w: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增温养殖购置生物加热炉、钢构棚建设</w:t>
            </w:r>
            <w:r>
              <w:rPr>
                <w:rFonts w:hint="eastAsia" w:ascii="Times New Roman" w:hAnsi="Times New Roman"/>
                <w:b/>
                <w:color w:val="FF0000"/>
              </w:rPr>
              <w:t>，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30</w:t>
            </w:r>
            <w:r>
              <w:rPr>
                <w:rFonts w:hint="eastAsia" w:ascii="Times New Roman" w:hAnsi="Times New Roman"/>
                <w:b/>
                <w:color w:val="FF0000"/>
              </w:rPr>
              <w:t>000元/亩×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/>
                <w:color w:val="FF0000"/>
              </w:rPr>
              <w:t>0亩=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30</w:t>
            </w:r>
            <w:r>
              <w:rPr>
                <w:rFonts w:hint="eastAsia" w:ascii="Times New Roman" w:hAnsi="Times New Roman"/>
                <w:b/>
                <w:color w:val="FF0000"/>
              </w:rPr>
              <w:t>万元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</w:rPr>
              <w:t>3、增氧设备购置：1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color w:val="FF0000"/>
              </w:rPr>
              <w:t>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主要用于购置罗茨风机、纳米增氧盘等，</w:t>
            </w:r>
            <w:r>
              <w:rPr>
                <w:rFonts w:hint="eastAsia" w:ascii="Times New Roman" w:hAnsi="Times New Roman"/>
                <w:b/>
                <w:color w:val="FF0000"/>
              </w:rPr>
              <w:t>10000元/套×1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color w:val="FF0000"/>
              </w:rPr>
              <w:t>套=15万元。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/>
                <w:color w:val="FF0000"/>
              </w:rPr>
              <w:t>、循环养殖圈桶：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/>
                <w:color w:val="FF0000"/>
              </w:rPr>
              <w:t>0万元。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主要用于陆基化循环</w:t>
            </w:r>
            <w:r>
              <w:rPr>
                <w:rFonts w:hint="eastAsia" w:ascii="Times New Roman" w:hAnsi="Times New Roman"/>
                <w:b/>
                <w:color w:val="FF0000"/>
              </w:rPr>
              <w:t>养殖桶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b/>
                <w:color w:val="FF0000"/>
              </w:rPr>
              <w:t>个，每个桶建设费用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/>
                <w:color w:val="FF0000"/>
              </w:rPr>
              <w:t>万元，共计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/>
                <w:color w:val="FF0000"/>
              </w:rPr>
              <w:t>0万元。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</w:rPr>
              <w:t>企业自筹资金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150</w:t>
            </w:r>
            <w:r>
              <w:rPr>
                <w:rFonts w:hint="eastAsia" w:ascii="Times New Roman" w:hAnsi="Times New Roman"/>
                <w:b/>
                <w:color w:val="FF0000"/>
              </w:rPr>
              <w:t>万元，具体测算如下：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</w:rPr>
              <w:t>1、进</w:t>
            </w: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排</w:t>
            </w:r>
            <w:r>
              <w:rPr>
                <w:rFonts w:hint="eastAsia" w:ascii="Times New Roman" w:hAnsi="Times New Roman"/>
                <w:b/>
                <w:color w:val="FF0000"/>
              </w:rPr>
              <w:t>水管道建设：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b/>
                <w:color w:val="FF0000"/>
              </w:rPr>
              <w:t>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主要用于</w:t>
            </w:r>
            <w:r>
              <w:rPr>
                <w:rFonts w:hint="eastAsia" w:ascii="Times New Roman" w:hAnsi="Times New Roman"/>
                <w:b/>
                <w:color w:val="FF0000"/>
              </w:rPr>
              <w:t>新建</w:t>
            </w: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池塘、孵化车间、圈桶</w:t>
            </w:r>
            <w:r>
              <w:rPr>
                <w:rFonts w:hint="eastAsia" w:ascii="Times New Roman" w:hAnsi="Times New Roman"/>
                <w:b/>
                <w:color w:val="FF0000"/>
              </w:rPr>
              <w:t>进</w:t>
            </w: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排</w:t>
            </w:r>
            <w:r>
              <w:rPr>
                <w:rFonts w:hint="eastAsia" w:ascii="Times New Roman" w:hAnsi="Times New Roman"/>
                <w:b/>
                <w:color w:val="FF0000"/>
              </w:rPr>
              <w:t>水管道。费用计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b/>
                <w:color w:val="FF0000"/>
              </w:rPr>
              <w:t>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/>
                <w:color w:val="FF0000"/>
              </w:rPr>
              <w:t>、循环池温棚建设：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30万元</w:t>
            </w:r>
            <w:r>
              <w:rPr>
                <w:rFonts w:hint="eastAsia" w:ascii="Times New Roman" w:hAnsi="Times New Roman"/>
                <w:b/>
                <w:color w:val="FF0000"/>
              </w:rPr>
              <w:t>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主要用于</w:t>
            </w:r>
            <w:r>
              <w:rPr>
                <w:rFonts w:hint="eastAsia" w:ascii="Times New Roman" w:hAnsi="Times New Roman"/>
                <w:b/>
                <w:color w:val="FF0000"/>
              </w:rPr>
              <w:t>建设循环池温棚</w:t>
            </w: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，</w:t>
            </w:r>
            <w:r>
              <w:rPr>
                <w:rFonts w:hint="eastAsia" w:ascii="Times New Roman" w:hAnsi="Times New Roman"/>
                <w:b/>
                <w:color w:val="FF0000"/>
              </w:rPr>
              <w:t>每亩建设费用3万，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10亩</w:t>
            </w:r>
            <w:r>
              <w:rPr>
                <w:rFonts w:hint="eastAsia" w:ascii="Times New Roman" w:hAnsi="Times New Roman"/>
                <w:b/>
                <w:color w:val="FF0000"/>
              </w:rPr>
              <w:t>费用计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30</w:t>
            </w:r>
            <w:r>
              <w:rPr>
                <w:rFonts w:hint="eastAsia" w:ascii="Times New Roman" w:hAnsi="Times New Roman"/>
                <w:b/>
                <w:color w:val="FF0000"/>
              </w:rPr>
              <w:t>万。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/>
                <w:color w:val="FF0000"/>
              </w:rPr>
              <w:t>、</w:t>
            </w: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检测</w:t>
            </w:r>
            <w:r>
              <w:rPr>
                <w:rFonts w:hint="eastAsia" w:ascii="Times New Roman" w:hAnsi="Times New Roman"/>
                <w:b/>
                <w:color w:val="FF0000"/>
              </w:rPr>
              <w:t>实验室建设：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50</w:t>
            </w:r>
            <w:r>
              <w:rPr>
                <w:rFonts w:hint="eastAsia" w:ascii="Times New Roman" w:hAnsi="Times New Roman"/>
                <w:b/>
                <w:color w:val="FF0000"/>
              </w:rPr>
              <w:t>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color w:val="FF0000"/>
              </w:rPr>
            </w:pP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主要用于</w:t>
            </w:r>
            <w:r>
              <w:rPr>
                <w:rFonts w:hint="eastAsia" w:ascii="Times New Roman" w:hAnsi="Times New Roman"/>
                <w:b/>
                <w:color w:val="FF0000"/>
              </w:rPr>
              <w:t>新建</w:t>
            </w: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检测实验室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/>
                <w:color w:val="FF0000"/>
              </w:rPr>
              <w:t>00平方米，每平方米建设费用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b/>
                <w:color w:val="FF0000"/>
              </w:rPr>
              <w:t>000元，费用计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50</w:t>
            </w:r>
            <w:r>
              <w:rPr>
                <w:rFonts w:hint="eastAsia" w:ascii="Times New Roman" w:hAnsi="Times New Roman"/>
                <w:b/>
                <w:color w:val="FF0000"/>
              </w:rPr>
              <w:t>万元。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hint="eastAsia" w:ascii="Times New Roman" w:hAnsi="Times New Roman" w:eastAsia="宋体"/>
                <w:b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/>
                <w:color w:val="FF0000"/>
              </w:rPr>
              <w:t>、实验室购置设备：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50</w:t>
            </w:r>
            <w:r>
              <w:rPr>
                <w:rFonts w:hint="eastAsia" w:ascii="Times New Roman" w:hAnsi="Times New Roman"/>
                <w:b/>
                <w:color w:val="FF0000"/>
              </w:rPr>
              <w:t>万元</w:t>
            </w: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。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ind w:firstLine="482" w:firstLineChars="200"/>
              <w:rPr>
                <w:rFonts w:ascii="Times New Roman" w:hAnsi="Times New Roman"/>
                <w:color w:val="000000"/>
                <w:sz w:val="20"/>
                <w:szCs w:val="20"/>
                <w:highlight w:val="darkRed"/>
              </w:rPr>
            </w:pP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主要用于</w:t>
            </w:r>
            <w:r>
              <w:rPr>
                <w:rFonts w:hint="eastAsia" w:ascii="Times New Roman" w:hAnsi="Times New Roman"/>
                <w:b/>
                <w:color w:val="FF0000"/>
              </w:rPr>
              <w:t>购买</w:t>
            </w:r>
            <w:r>
              <w:rPr>
                <w:rFonts w:hint="eastAsia" w:ascii="Times New Roman" w:hAnsi="Times New Roman"/>
                <w:b/>
                <w:color w:val="FF0000"/>
                <w:lang w:eastAsia="zh-CN"/>
              </w:rPr>
              <w:t>显微镜、解剖镜、快速检测仪等</w:t>
            </w:r>
            <w:r>
              <w:rPr>
                <w:rFonts w:hint="eastAsia" w:ascii="Times New Roman" w:hAnsi="Times New Roman"/>
                <w:b/>
                <w:color w:val="FF0000"/>
              </w:rPr>
              <w:t>实验室仪器设备，费用合计</w:t>
            </w: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50</w:t>
            </w:r>
            <w:r>
              <w:rPr>
                <w:rFonts w:hint="eastAsia" w:ascii="Times New Roman" w:hAnsi="Times New Roman"/>
                <w:b/>
                <w:color w:val="FF0000"/>
              </w:rPr>
              <w:t>万元。</w:t>
            </w:r>
          </w:p>
        </w:tc>
      </w:tr>
    </w:tbl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  <w:sectPr>
          <w:pgSz w:w="11906" w:h="16838"/>
          <w:pgMar w:top="1587" w:right="1587" w:bottom="1587" w:left="1587" w:header="851" w:footer="1587" w:gutter="0"/>
          <w:pgNumType w:fmt="numberInDash"/>
          <w:cols w:space="0" w:num="1"/>
          <w:rtlGutter w:val="0"/>
          <w:docGrid w:type="lines" w:linePitch="318" w:charSpace="0"/>
        </w:sectPr>
      </w:pPr>
    </w:p>
    <w:p>
      <w:pPr>
        <w:widowControl/>
        <w:wordWrap/>
        <w:adjustRightInd/>
        <w:snapToGrid/>
        <w:spacing w:before="0" w:after="0" w:line="600" w:lineRule="exact"/>
        <w:ind w:right="0"/>
        <w:jc w:val="both"/>
        <w:textAlignment w:val="center"/>
        <w:outlineLvl w:val="9"/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</w:pPr>
    </w:p>
    <w:p>
      <w:pPr>
        <w:widowControl/>
        <w:wordWrap/>
        <w:adjustRightInd/>
        <w:snapToGrid/>
        <w:spacing w:before="0" w:after="0" w:line="600" w:lineRule="exact"/>
        <w:ind w:right="0"/>
        <w:jc w:val="center"/>
        <w:textAlignment w:val="center"/>
        <w:outlineLvl w:val="9"/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2024年成品油价格调整对渔业补助预算项目建设任务表</w:t>
      </w:r>
    </w:p>
    <w:p>
      <w:pPr>
        <w:pStyle w:val="2"/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</w:pPr>
    </w:p>
    <w:tbl>
      <w:tblPr>
        <w:tblStyle w:val="7"/>
        <w:tblW w:w="14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38"/>
        <w:gridCol w:w="1085"/>
        <w:gridCol w:w="1150"/>
        <w:gridCol w:w="6660"/>
        <w:gridCol w:w="975"/>
        <w:gridCol w:w="1110"/>
        <w:gridCol w:w="990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2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实施主体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所在地点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联系人及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建设子项目名称</w:t>
            </w:r>
          </w:p>
        </w:tc>
        <w:tc>
          <w:tcPr>
            <w:tcW w:w="6660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具体建设内容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项目投资（万元）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  <w:lang w:eastAsia="zh-CN"/>
              </w:rPr>
              <w:t>建设周期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82" w:type="dxa"/>
            <w:vMerge w:val="continue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660" w:type="dxa"/>
            <w:vMerge w:val="continue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中央财政投入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  <w:t>实施主体自筹</w:t>
            </w: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2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38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4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2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38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85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82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38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85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82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38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85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82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38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85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82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38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85" w:type="dxa"/>
            <w:vMerge w:val="continue"/>
            <w:vAlign w:val="top"/>
          </w:tcPr>
          <w:p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合计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Cs w:val="21"/>
              </w:rPr>
              <w:instrText xml:space="preserve"> = sum(F3:F6) \* MERGEFORMAT </w:instrTex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wordWrap/>
        <w:adjustRightInd/>
        <w:snapToGrid/>
        <w:spacing w:line="4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</w:pPr>
    </w:p>
    <w:p>
      <w:pPr>
        <w:widowControl/>
        <w:wordWrap/>
        <w:adjustRightInd/>
        <w:snapToGrid/>
        <w:spacing w:line="4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sectPr>
          <w:pgSz w:w="16838" w:h="11906" w:orient="landscape"/>
          <w:pgMar w:top="1587" w:right="1587" w:bottom="1587" w:left="1587" w:header="851" w:footer="1587" w:gutter="0"/>
          <w:pgNumType w:fmt="numberInDash"/>
          <w:cols w:space="0" w:num="1"/>
          <w:rtlGutter w:val="0"/>
          <w:docGrid w:type="lines" w:linePitch="323" w:charSpace="0"/>
        </w:sectPr>
      </w:pPr>
    </w:p>
    <w:p>
      <w:pPr>
        <w:pStyle w:val="2"/>
        <w:rPr>
          <w:rFonts w:hint="eastAsia" w:ascii="Times New Roman" w:hAnsi="Times New Roman"/>
          <w:lang w:val="en-US" w:eastAsia="zh-CN"/>
        </w:rPr>
      </w:pPr>
    </w:p>
    <w:p>
      <w:pPr>
        <w:widowControl/>
        <w:wordWrap/>
        <w:adjustRightInd/>
        <w:snapToGrid/>
        <w:spacing w:line="4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项目绩效表</w:t>
      </w:r>
    </w:p>
    <w:tbl>
      <w:tblPr>
        <w:tblStyle w:val="7"/>
        <w:tblpPr w:leftFromText="180" w:rightFromText="180" w:vertAnchor="text" w:horzAnchor="page" w:tblpX="1739" w:tblpY="121"/>
        <w:tblOverlap w:val="never"/>
        <w:tblW w:w="8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2012"/>
        <w:gridCol w:w="1293"/>
        <w:gridCol w:w="1293"/>
        <w:gridCol w:w="2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6"/>
                <w:sz w:val="24"/>
                <w:szCs w:val="24"/>
              </w:rPr>
              <w:t>指标类别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6"/>
                <w:sz w:val="24"/>
                <w:szCs w:val="24"/>
              </w:rPr>
              <w:t>指标名称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6"/>
                <w:sz w:val="24"/>
                <w:szCs w:val="24"/>
              </w:rPr>
              <w:t>指标值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6"/>
                <w:sz w:val="24"/>
                <w:szCs w:val="24"/>
              </w:rPr>
              <w:t>权重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数量指标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温棚与锅炉棚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40亩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数量指标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增氧设备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10套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数量指标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圈桶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……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社会效益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示范辐射面积、人数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经济效益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预期产值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68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Calibri"/>
                <w:b/>
                <w:color w:val="000000"/>
                <w:spacing w:val="6"/>
                <w:sz w:val="28"/>
                <w:szCs w:val="28"/>
              </w:rPr>
              <w:t>部门单位审核意见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项目单位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意见</w:t>
            </w:r>
          </w:p>
        </w:tc>
        <w:tc>
          <w:tcPr>
            <w:tcW w:w="73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6240" w:firstLineChars="24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（章）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 xml:space="preserve">  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  <w:lang w:eastAsia="zh-CN"/>
              </w:rPr>
              <w:t>县</w:t>
            </w:r>
            <w:r>
              <w:rPr>
                <w:rFonts w:hint="eastAsia" w:ascii="Times New Roman" w:hAnsi="Times New Roman"/>
                <w:sz w:val="26"/>
                <w:szCs w:val="26"/>
              </w:rPr>
              <w:t>级</w:t>
            </w:r>
            <w:r>
              <w:rPr>
                <w:rFonts w:hint="eastAsia" w:ascii="Times New Roman" w:hAnsi="Times New Roman"/>
                <w:sz w:val="26"/>
                <w:szCs w:val="26"/>
                <w:lang w:eastAsia="zh-CN"/>
              </w:rPr>
              <w:t>农业农村</w:t>
            </w:r>
            <w:r>
              <w:rPr>
                <w:rFonts w:hint="eastAsia" w:ascii="Times New Roman" w:hAnsi="Times New Roman"/>
                <w:sz w:val="26"/>
                <w:szCs w:val="26"/>
              </w:rPr>
              <w:t>部门</w:t>
            </w: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审核意见</w:t>
            </w:r>
          </w:p>
        </w:tc>
        <w:tc>
          <w:tcPr>
            <w:tcW w:w="73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6240" w:firstLineChars="24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6240" w:firstLineChars="24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12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ind w:firstLine="6240" w:firstLineChars="24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（章）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 xml:space="preserve">                                            年  月   日</w:t>
            </w:r>
          </w:p>
        </w:tc>
      </w:tr>
    </w:tbl>
    <w:p>
      <w:pPr>
        <w:rPr>
          <w:rFonts w:hint="eastAsia" w:ascii="Times New Roman" w:hAnsi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/>
          <w:b/>
          <w:bCs/>
          <w:color w:val="FF0000"/>
          <w:sz w:val="30"/>
          <w:szCs w:val="30"/>
          <w:lang w:eastAsia="zh-CN"/>
        </w:rPr>
        <w:t>注：标红部分为参照填报项，填报时自行删除，依实际填报</w:t>
      </w:r>
      <w:r>
        <w:rPr>
          <w:rFonts w:hint="eastAsia" w:ascii="Times New Roman" w:hAnsi="Times New Roman"/>
          <w:color w:val="FF0000"/>
          <w:sz w:val="32"/>
          <w:szCs w:val="32"/>
          <w:lang w:eastAsia="zh-CN"/>
        </w:rPr>
        <w:t>。</w:t>
      </w:r>
    </w:p>
    <w:p>
      <w:pPr>
        <w:pStyle w:val="10"/>
        <w:ind w:left="0" w:leftChars="0" w:firstLine="0" w:firstLineChars="0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sectPr>
          <w:pgSz w:w="11906" w:h="16838"/>
          <w:pgMar w:top="1587" w:right="1587" w:bottom="1587" w:left="1587" w:header="851" w:footer="1587" w:gutter="0"/>
          <w:pgNumType w:fmt="numberInDash"/>
          <w:cols w:space="0" w:num="1"/>
          <w:rtlGutter w:val="0"/>
          <w:docGrid w:type="lines" w:linePitch="323" w:charSpace="0"/>
        </w:sectPr>
      </w:pPr>
    </w:p>
    <w:p>
      <w:pPr>
        <w:pStyle w:val="2"/>
        <w:rPr>
          <w:rFonts w:hint="eastAsia" w:ascii="Times New Roman" w:hAnsi="Times New Roman" w:eastAsia="黑体" w:cs="黑体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Cs/>
          <w:color w:val="auto"/>
          <w:kern w:val="36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Cs/>
          <w:color w:val="auto"/>
          <w:kern w:val="36"/>
          <w:sz w:val="32"/>
          <w:szCs w:val="32"/>
          <w:lang w:val="en-US" w:eastAsia="zh-CN"/>
        </w:rPr>
        <w:t>2</w:t>
      </w:r>
    </w:p>
    <w:p>
      <w:pPr>
        <w:pStyle w:val="10"/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  <w:t>2024年成品油价格调整对渔业补助预算项目备案表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</w:pPr>
    </w:p>
    <w:tbl>
      <w:tblPr>
        <w:tblStyle w:val="7"/>
        <w:tblW w:w="13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60"/>
        <w:gridCol w:w="1695"/>
        <w:gridCol w:w="6962"/>
        <w:gridCol w:w="1033"/>
        <w:gridCol w:w="1034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及手机号</w:t>
            </w:r>
          </w:p>
        </w:tc>
        <w:tc>
          <w:tcPr>
            <w:tcW w:w="6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资金投入（万元）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自筹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Times New Roman" w:hAnsi="Times New Roman"/>
          <w:color w:val="auto"/>
          <w:u w:val="single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eastAsia" w:ascii="Times New Roman" w:hAnsi="Times New Roman"/>
          <w:sz w:val="32"/>
          <w:szCs w:val="32"/>
          <w:lang w:val="en-US" w:eastAsia="zh-CN"/>
        </w:rPr>
        <w:sectPr>
          <w:pgSz w:w="16838" w:h="11906" w:orient="landscape"/>
          <w:pgMar w:top="1587" w:right="1587" w:bottom="1587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23" w:charSpace="0"/>
        </w:sectPr>
      </w:pPr>
    </w:p>
    <w:p>
      <w:pPr>
        <w:pStyle w:val="10"/>
        <w:ind w:left="0" w:leftChars="0" w:firstLine="0" w:firstLineChars="0"/>
        <w:jc w:val="left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wordWrap/>
        <w:adjustRightInd/>
        <w:snapToGrid/>
        <w:spacing w:line="460" w:lineRule="exact"/>
        <w:jc w:val="center"/>
        <w:textAlignment w:val="center"/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2024年中央成品油价格调整对渔业补助预算</w:t>
      </w:r>
    </w:p>
    <w:p>
      <w:pPr>
        <w:widowControl/>
        <w:wordWrap/>
        <w:adjustRightInd/>
        <w:snapToGrid/>
        <w:spacing w:line="460" w:lineRule="exact"/>
        <w:jc w:val="center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绩效目标表</w:t>
      </w:r>
    </w:p>
    <w:tbl>
      <w:tblPr>
        <w:tblStyle w:val="7"/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30"/>
        <w:gridCol w:w="1383"/>
        <w:gridCol w:w="1137"/>
        <w:gridCol w:w="2344"/>
        <w:gridCol w:w="703"/>
        <w:gridCol w:w="1422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级主管部门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上饶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财政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局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上饶市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农业农村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局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专项实施期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级财政部门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德兴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市财政局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级主管部门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德兴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年度资金（万元）</w:t>
            </w:r>
          </w:p>
        </w:tc>
        <w:tc>
          <w:tcPr>
            <w:tcW w:w="548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0" w:type="dxa"/>
            <w:gridSpan w:val="3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其中：中央补助</w:t>
            </w:r>
          </w:p>
        </w:tc>
        <w:tc>
          <w:tcPr>
            <w:tcW w:w="548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年度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目标</w:t>
            </w:r>
          </w:p>
        </w:tc>
        <w:tc>
          <w:tcPr>
            <w:tcW w:w="9437" w:type="dxa"/>
            <w:gridSpan w:val="7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按照项目方案确定的支持方向，完成设施渔业（钢棚、圈养桶或水池）等现代渔业设施设备任务指标。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绩效指标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一级指标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二级指标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三级指标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指标值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数量指标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设施渔业（钢棚、圈养桶）建设数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≥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质量指标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养殖池塘面积保持稳定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保持稳定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水产品总产量提升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≦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特种水产品产量提升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≦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项目实施完成节点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2024年12月底前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成本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经济成本指标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项目补助标准不超过要求比例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是/否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社会效益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资金使用重大违规违纪问题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是/否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生态效益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尾水治理点实现达标排放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是/否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经济效益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设施建成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后标准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产量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提高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≦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满意度指标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服务对象满意度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受益渔业经营主体满意度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≥80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10"/>
        <w:ind w:left="0" w:leftChars="0" w:firstLine="0" w:firstLineChars="0"/>
        <w:rPr>
          <w:rFonts w:hint="default" w:ascii="Times New Roman" w:hAnsi="Times New Roman"/>
          <w:color w:val="FF0000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default" w:ascii="Times New Roman" w:hAnsi="Times New Roman"/>
          <w:color w:val="FF0000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default" w:ascii="Times New Roman" w:hAnsi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德兴市农业农村局党政办公室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 xml:space="preserve">             2024年4月15日印发</w:t>
      </w:r>
    </w:p>
    <w:sectPr>
      <w:footerReference r:id="rId6" w:type="default"/>
      <w:pgSz w:w="11906" w:h="16838"/>
      <w:pgMar w:top="1587" w:right="1587" w:bottom="1587" w:left="1587" w:header="851" w:footer="1587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D3D237-010D-4048-B8DC-6B47C21487A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0543643-AAA3-42A7-B119-A4AFCB0663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459DD6F-C67E-41F8-AA91-AE5B38AF8A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CADB972-38DC-4143-A49F-E84CD918E98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3D17A16-529E-4419-B02D-FD6228375C8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66CF9E2C-593B-4EFC-BBF8-9D2F2CD15B34}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7" w:fontKey="{BF63A0B3-5DD1-4E7A-B255-C11E561D5B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XpaxT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rZI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lrF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- 19 -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clear" w:pos="4153"/>
      </w:tabs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OWE4YjRlYWViZDc1YWIwZjNmYmZhOTQwZDJhYjEifQ=="/>
  </w:docVars>
  <w:rsids>
    <w:rsidRoot w:val="00000000"/>
    <w:rsid w:val="007C717F"/>
    <w:rsid w:val="01795333"/>
    <w:rsid w:val="03E51B90"/>
    <w:rsid w:val="0FC80BF1"/>
    <w:rsid w:val="106F0842"/>
    <w:rsid w:val="11C91AF8"/>
    <w:rsid w:val="12D35B44"/>
    <w:rsid w:val="134371F2"/>
    <w:rsid w:val="177C1161"/>
    <w:rsid w:val="186C142F"/>
    <w:rsid w:val="1CC730D8"/>
    <w:rsid w:val="1E7042D5"/>
    <w:rsid w:val="209450EA"/>
    <w:rsid w:val="20B64835"/>
    <w:rsid w:val="24F34E27"/>
    <w:rsid w:val="26B91556"/>
    <w:rsid w:val="2AE65071"/>
    <w:rsid w:val="2DE5725A"/>
    <w:rsid w:val="2E840E29"/>
    <w:rsid w:val="326C639D"/>
    <w:rsid w:val="355D3219"/>
    <w:rsid w:val="358E4A89"/>
    <w:rsid w:val="37DE5A4E"/>
    <w:rsid w:val="38FB618B"/>
    <w:rsid w:val="3CE83947"/>
    <w:rsid w:val="3D8250CD"/>
    <w:rsid w:val="3DF22381"/>
    <w:rsid w:val="431167C1"/>
    <w:rsid w:val="432F3E84"/>
    <w:rsid w:val="443F5AC6"/>
    <w:rsid w:val="465670F7"/>
    <w:rsid w:val="46F72688"/>
    <w:rsid w:val="4E8F764A"/>
    <w:rsid w:val="50FE515C"/>
    <w:rsid w:val="53B67427"/>
    <w:rsid w:val="57FA3D86"/>
    <w:rsid w:val="5D6121B1"/>
    <w:rsid w:val="67FC1454"/>
    <w:rsid w:val="6A5D1E84"/>
    <w:rsid w:val="776E39F1"/>
    <w:rsid w:val="78910E30"/>
    <w:rsid w:val="78EB3E90"/>
    <w:rsid w:val="7AFA15F1"/>
    <w:rsid w:val="7D6B04F3"/>
    <w:rsid w:val="7EE43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hAnsi="Courier New" w:eastAsia="宋体" w:cs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autoRedefine/>
    <w:qFormat/>
    <w:uiPriority w:val="0"/>
    <w:pPr>
      <w:spacing w:after="120" w:afterAutospacing="0" w:line="240" w:lineRule="auto"/>
      <w:ind w:firstLine="420" w:firstLineChars="200"/>
    </w:pPr>
    <w:rPr>
      <w:rFonts w:ascii="Times New Roman" w:hAnsi="Times New Roman" w:eastAsia="仿宋_GB2312" w:cs="Times New Roman"/>
      <w:sz w:val="30"/>
    </w:rPr>
  </w:style>
  <w:style w:type="paragraph" w:styleId="6">
    <w:name w:val="HTML Preformatted"/>
    <w:basedOn w:val="1"/>
    <w:autoRedefine/>
    <w:qFormat/>
    <w:uiPriority w:val="0"/>
    <w:pPr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character" w:styleId="9">
    <w:name w:val="page number"/>
    <w:basedOn w:val="8"/>
    <w:autoRedefine/>
    <w:qFormat/>
    <w:uiPriority w:val="0"/>
    <w:rPr>
      <w:rFonts w:ascii="Calibri" w:hAnsi="Calibri" w:eastAsia="宋体" w:cs="Times New Roman"/>
    </w:rPr>
  </w:style>
  <w:style w:type="paragraph" w:customStyle="1" w:styleId="10">
    <w:name w:val="NormalIndent"/>
    <w:basedOn w:val="1"/>
    <w:autoRedefine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1">
    <w:name w:val="BodyText2"/>
    <w:basedOn w:val="1"/>
    <w:autoRedefine/>
    <w:qFormat/>
    <w:uiPriority w:val="0"/>
    <w:pPr>
      <w:spacing w:after="120"/>
      <w:ind w:firstLine="420" w:firstLineChars="200"/>
      <w:jc w:val="both"/>
      <w:textAlignment w:val="baseline"/>
    </w:pPr>
    <w:rPr>
      <w:rFonts w:ascii="Times New Roman" w:hAnsi="Times New Roman" w:eastAsia="仿宋_GB2312"/>
      <w:kern w:val="2"/>
      <w:sz w:val="30"/>
      <w:szCs w:val="24"/>
      <w:lang w:val="en-US" w:eastAsia="zh-CN" w:bidi="ar-SA"/>
    </w:rPr>
  </w:style>
  <w:style w:type="paragraph" w:customStyle="1" w:styleId="12">
    <w:name w:val="[Normal]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customStyle="1" w:styleId="13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3132</Words>
  <Characters>3292</Characters>
  <Lines>0</Lines>
  <Paragraphs>766</Paragraphs>
  <TotalTime>4</TotalTime>
  <ScaleCrop>false</ScaleCrop>
  <LinksUpToDate>false</LinksUpToDate>
  <CharactersWithSpaces>3445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2024-02-06T08:51:00Z</dcterms:created>
  <dc:creator>顶立</dc:creator>
  <cp:lastModifiedBy>音符</cp:lastModifiedBy>
  <cp:lastPrinted>2024-04-17T01:00:00Z</cp:lastPrinted>
  <dcterms:modified xsi:type="dcterms:W3CDTF">2024-04-17T01:43:39Z</dcterms:modified>
  <dc:title>饶农字〔2024〕22号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744E4E0621BE442F90B1E0256E8A2DEF_13</vt:lpwstr>
  </property>
</Properties>
</file>