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楷体" w:hAnsi="楷体" w:eastAsia="楷体" w:cs="楷体"/>
          <w:sz w:val="30"/>
          <w:szCs w:val="30"/>
        </w:rPr>
      </w:pPr>
    </w:p>
    <w:p>
      <w:pPr>
        <w:spacing w:line="600" w:lineRule="exact"/>
        <w:jc w:val="center"/>
        <w:rPr>
          <w:rFonts w:hint="eastAsia" w:ascii="宋体" w:hAnsi="宋体" w:cs="宋体"/>
          <w:b/>
          <w:bCs/>
          <w:sz w:val="44"/>
          <w:szCs w:val="36"/>
        </w:rPr>
      </w:pPr>
      <w:r>
        <w:rPr>
          <w:rFonts w:hint="eastAsia" w:ascii="宋体" w:hAnsi="宋体" w:cs="宋体"/>
          <w:b/>
          <w:bCs/>
          <w:sz w:val="44"/>
          <w:szCs w:val="36"/>
        </w:rPr>
        <w:t>司法局2020年度部门决算</w:t>
      </w:r>
    </w:p>
    <w:p>
      <w:pPr>
        <w:spacing w:line="600" w:lineRule="exact"/>
        <w:jc w:val="center"/>
        <w:rPr>
          <w:rFonts w:hint="eastAsia" w:ascii="黑体" w:eastAsia="黑体"/>
          <w:sz w:val="44"/>
          <w:szCs w:val="36"/>
        </w:rPr>
      </w:pPr>
    </w:p>
    <w:p>
      <w:pPr>
        <w:spacing w:line="600" w:lineRule="exact"/>
        <w:jc w:val="center"/>
        <w:rPr>
          <w:rFonts w:hint="eastAsia" w:ascii="宋体" w:hAnsi="宋体" w:cs="宋体"/>
          <w:b/>
          <w:bCs/>
          <w:sz w:val="40"/>
          <w:szCs w:val="36"/>
        </w:rPr>
      </w:pPr>
      <w:r>
        <w:rPr>
          <w:rFonts w:hint="eastAsia" w:ascii="宋体" w:hAnsi="宋体" w:cs="宋体"/>
          <w:b/>
          <w:bCs/>
          <w:sz w:val="40"/>
          <w:szCs w:val="36"/>
        </w:rPr>
        <w:t>目    录</w:t>
      </w:r>
    </w:p>
    <w:p>
      <w:pPr>
        <w:widowControl/>
        <w:spacing w:line="600" w:lineRule="exact"/>
        <w:ind w:firstLine="640"/>
        <w:jc w:val="left"/>
        <w:rPr>
          <w:rFonts w:hint="eastAsia" w:ascii="仿宋_GB2312" w:eastAsia="仿宋_GB2312"/>
          <w:sz w:val="32"/>
          <w:szCs w:val="30"/>
        </w:rPr>
      </w:pPr>
    </w:p>
    <w:p>
      <w:pPr>
        <w:widowControl/>
        <w:spacing w:line="600" w:lineRule="exact"/>
        <w:ind w:firstLine="640"/>
        <w:jc w:val="left"/>
        <w:rPr>
          <w:rFonts w:hint="eastAsia" w:ascii="黑体" w:hAnsi="黑体" w:eastAsia="黑体"/>
          <w:b/>
          <w:sz w:val="32"/>
          <w:szCs w:val="32"/>
        </w:rPr>
      </w:pPr>
      <w:r>
        <w:rPr>
          <w:rFonts w:hint="eastAsia" w:ascii="黑体" w:hAnsi="黑体" w:eastAsia="黑体"/>
          <w:b/>
          <w:sz w:val="32"/>
          <w:szCs w:val="32"/>
        </w:rPr>
        <w:t xml:space="preserve">第一部分  </w:t>
      </w:r>
      <w:r>
        <w:rPr>
          <w:rFonts w:hint="eastAsia" w:ascii="黑体" w:hAnsi="黑体" w:eastAsia="黑体"/>
          <w:sz w:val="32"/>
          <w:szCs w:val="32"/>
        </w:rPr>
        <w:t>司法局</w:t>
      </w:r>
      <w:r>
        <w:rPr>
          <w:rFonts w:hint="eastAsia" w:ascii="黑体" w:hAnsi="黑体" w:eastAsia="黑体"/>
          <w:b/>
          <w:sz w:val="32"/>
          <w:szCs w:val="32"/>
        </w:rPr>
        <w:t>概况</w:t>
      </w:r>
    </w:p>
    <w:p>
      <w:pPr>
        <w:widowControl/>
        <w:spacing w:line="600" w:lineRule="exact"/>
        <w:ind w:firstLine="640"/>
        <w:jc w:val="left"/>
        <w:rPr>
          <w:rFonts w:hint="eastAsia" w:ascii="仿宋" w:hAnsi="仿宋" w:eastAsia="仿宋"/>
          <w:sz w:val="32"/>
          <w:szCs w:val="30"/>
        </w:rPr>
      </w:pPr>
      <w:r>
        <w:rPr>
          <w:rFonts w:hint="eastAsia" w:ascii="仿宋_GB2312" w:eastAsia="仿宋_GB2312"/>
          <w:b/>
          <w:sz w:val="32"/>
          <w:szCs w:val="30"/>
        </w:rPr>
        <w:t xml:space="preserve">    </w:t>
      </w:r>
      <w:r>
        <w:rPr>
          <w:rFonts w:hint="eastAsia" w:ascii="仿宋" w:hAnsi="仿宋" w:eastAsia="仿宋"/>
          <w:sz w:val="32"/>
          <w:szCs w:val="30"/>
        </w:rPr>
        <w:t>一、部门主要职责</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二、部门基本情况</w:t>
      </w:r>
    </w:p>
    <w:p>
      <w:pPr>
        <w:widowControl/>
        <w:spacing w:line="600" w:lineRule="exact"/>
        <w:ind w:firstLine="640"/>
        <w:jc w:val="left"/>
        <w:rPr>
          <w:rFonts w:hint="eastAsia" w:ascii="黑体" w:hAnsi="黑体" w:eastAsia="黑体"/>
          <w:sz w:val="32"/>
          <w:szCs w:val="32"/>
        </w:rPr>
      </w:pPr>
      <w:r>
        <w:rPr>
          <w:rFonts w:hint="eastAsia" w:ascii="黑体" w:hAnsi="黑体" w:eastAsia="黑体"/>
          <w:sz w:val="32"/>
          <w:szCs w:val="32"/>
        </w:rPr>
        <w:t>第二部分  2020年度部门决算表</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一、收入支出决算总表</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二、收入决算表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三、支出决算表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四、财政拨款收入支出决算总表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五、一般公共预算财政拨款支出决算表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六、一般公共预算财政拨款基本支出决算表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七、一般公共预算财政拨款“三公”经费支出决算</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表</w:t>
      </w:r>
    </w:p>
    <w:p>
      <w:pPr>
        <w:widowControl/>
        <w:numPr>
          <w:ilvl w:val="0"/>
          <w:numId w:val="1"/>
        </w:numPr>
        <w:spacing w:line="600" w:lineRule="exact"/>
        <w:jc w:val="left"/>
        <w:rPr>
          <w:rFonts w:hint="eastAsia" w:ascii="仿宋" w:hAnsi="仿宋" w:eastAsia="仿宋" w:cs="宋体"/>
          <w:kern w:val="0"/>
          <w:sz w:val="32"/>
          <w:szCs w:val="32"/>
        </w:rPr>
      </w:pPr>
      <w:r>
        <w:rPr>
          <w:rFonts w:hint="eastAsia" w:ascii="仿宋" w:hAnsi="仿宋" w:eastAsia="仿宋" w:cs="宋体"/>
          <w:kern w:val="0"/>
          <w:sz w:val="32"/>
          <w:szCs w:val="32"/>
        </w:rPr>
        <w:t>政府性基金预算财政拨款收入支出决算表</w:t>
      </w:r>
    </w:p>
    <w:p>
      <w:pPr>
        <w:widowControl/>
        <w:numPr>
          <w:ilvl w:val="0"/>
          <w:numId w:val="1"/>
        </w:numPr>
        <w:spacing w:line="600" w:lineRule="exact"/>
        <w:jc w:val="left"/>
        <w:rPr>
          <w:rFonts w:hint="eastAsia" w:ascii="仿宋" w:hAnsi="仿宋" w:eastAsia="仿宋" w:cs="宋体"/>
          <w:kern w:val="0"/>
          <w:sz w:val="32"/>
          <w:szCs w:val="32"/>
        </w:rPr>
      </w:pPr>
      <w:r>
        <w:rPr>
          <w:rFonts w:hint="eastAsia" w:ascii="仿宋" w:hAnsi="仿宋" w:eastAsia="仿宋" w:cs="宋体"/>
          <w:kern w:val="0"/>
          <w:sz w:val="32"/>
          <w:szCs w:val="32"/>
        </w:rPr>
        <w:t>国有资本经营预算财政拨款支出决算表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十、国有资产占用情况表</w:t>
      </w:r>
    </w:p>
    <w:p>
      <w:pPr>
        <w:widowControl/>
        <w:spacing w:line="600" w:lineRule="exact"/>
        <w:jc w:val="left"/>
        <w:rPr>
          <w:rFonts w:hint="eastAsia" w:ascii="黑体" w:hAnsi="黑体" w:eastAsia="黑体"/>
          <w:sz w:val="32"/>
          <w:szCs w:val="32"/>
        </w:rPr>
      </w:pPr>
      <w:r>
        <w:rPr>
          <w:rFonts w:hint="eastAsia" w:ascii="仿宋" w:hAnsi="仿宋" w:eastAsia="仿宋" w:cs="宋体"/>
          <w:kern w:val="0"/>
          <w:sz w:val="32"/>
          <w:szCs w:val="32"/>
        </w:rPr>
        <w:t xml:space="preserve">    </w:t>
      </w:r>
      <w:r>
        <w:rPr>
          <w:rFonts w:hint="eastAsia" w:ascii="黑体" w:hAnsi="黑体" w:eastAsia="黑体"/>
          <w:sz w:val="32"/>
          <w:szCs w:val="32"/>
        </w:rPr>
        <w:t>第三部分  2020年度部门决算情况说明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一、收入决算情况说明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二、支出决算情况说明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三、财政拨款支出决算情况说明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四、一般公共预算财政拨款基本支出决算情况说明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五、一般公共预算财政拨款“三公”经费支出决算</w:t>
      </w:r>
    </w:p>
    <w:p>
      <w:pPr>
        <w:widowControl/>
        <w:spacing w:line="600" w:lineRule="exact"/>
        <w:jc w:val="left"/>
        <w:rPr>
          <w:rFonts w:hint="eastAsia" w:ascii="仿宋" w:hAnsi="仿宋" w:eastAsia="仿宋"/>
          <w:sz w:val="32"/>
          <w:szCs w:val="30"/>
        </w:rPr>
      </w:pPr>
      <w:r>
        <w:rPr>
          <w:rFonts w:hint="eastAsia" w:ascii="仿宋" w:hAnsi="仿宋" w:eastAsia="仿宋"/>
          <w:sz w:val="32"/>
          <w:szCs w:val="30"/>
        </w:rPr>
        <w:t xml:space="preserve">    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六、机关运行经费支出情况说明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七、政府采购支出情况说明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八、国有资产占用情况说明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九、预算绩效情况说明</w:t>
      </w:r>
    </w:p>
    <w:p>
      <w:pPr>
        <w:widowControl/>
        <w:spacing w:line="600" w:lineRule="exact"/>
        <w:ind w:firstLine="640"/>
        <w:jc w:val="left"/>
        <w:rPr>
          <w:rFonts w:ascii="仿宋" w:hAnsi="仿宋" w:eastAsia="仿宋"/>
          <w:sz w:val="32"/>
          <w:szCs w:val="30"/>
        </w:rPr>
      </w:pPr>
      <w:r>
        <w:rPr>
          <w:rFonts w:hint="eastAsia" w:ascii="黑体" w:hAnsi="黑体" w:eastAsia="黑体"/>
          <w:sz w:val="32"/>
          <w:szCs w:val="32"/>
        </w:rPr>
        <w:t>第四部分  名词解释</w:t>
      </w: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widowControl/>
        <w:spacing w:line="580" w:lineRule="exact"/>
        <w:jc w:val="center"/>
        <w:rPr>
          <w:rFonts w:hint="eastAsia" w:ascii="宋体" w:hAnsi="宋体"/>
          <w:b/>
          <w:sz w:val="32"/>
          <w:szCs w:val="30"/>
        </w:rPr>
      </w:pPr>
    </w:p>
    <w:p>
      <w:pPr>
        <w:widowControl/>
        <w:spacing w:line="580" w:lineRule="exact"/>
        <w:jc w:val="center"/>
        <w:rPr>
          <w:rFonts w:hint="eastAsia" w:ascii="宋体" w:hAnsi="宋体"/>
          <w:b/>
          <w:sz w:val="32"/>
          <w:szCs w:val="30"/>
        </w:rPr>
      </w:pPr>
      <w:r>
        <w:rPr>
          <w:rFonts w:hint="eastAsia" w:ascii="宋体" w:hAnsi="宋体"/>
          <w:b/>
          <w:sz w:val="32"/>
          <w:szCs w:val="30"/>
        </w:rPr>
        <w:t xml:space="preserve">第一部分  </w:t>
      </w:r>
      <w:r>
        <w:rPr>
          <w:rFonts w:hint="eastAsia" w:ascii="宋体" w:hAnsi="宋体"/>
          <w:b/>
          <w:sz w:val="32"/>
          <w:szCs w:val="32"/>
        </w:rPr>
        <w:t>司法局</w:t>
      </w:r>
      <w:r>
        <w:rPr>
          <w:rFonts w:hint="eastAsia" w:ascii="宋体" w:hAnsi="宋体"/>
          <w:b/>
          <w:sz w:val="32"/>
          <w:szCs w:val="30"/>
        </w:rPr>
        <w:t>概况</w:t>
      </w:r>
    </w:p>
    <w:p>
      <w:pPr>
        <w:ind w:firstLine="630"/>
        <w:jc w:val="center"/>
        <w:rPr>
          <w:rFonts w:hint="eastAsia"/>
          <w:sz w:val="32"/>
          <w:szCs w:val="32"/>
        </w:rPr>
      </w:pPr>
    </w:p>
    <w:p>
      <w:pPr>
        <w:ind w:firstLine="630"/>
        <w:jc w:val="left"/>
        <w:rPr>
          <w:rFonts w:hint="eastAsia" w:ascii="黑体" w:hAnsi="黑体" w:eastAsia="黑体"/>
          <w:sz w:val="30"/>
          <w:szCs w:val="30"/>
        </w:rPr>
      </w:pPr>
      <w:r>
        <w:rPr>
          <w:rFonts w:hint="eastAsia" w:ascii="黑体" w:hAnsi="黑体" w:eastAsia="黑体"/>
          <w:sz w:val="30"/>
          <w:szCs w:val="30"/>
        </w:rPr>
        <w:t>一、部门主要职能</w:t>
      </w:r>
    </w:p>
    <w:p>
      <w:pPr>
        <w:ind w:firstLine="630"/>
        <w:jc w:val="left"/>
        <w:rPr>
          <w:rFonts w:ascii="仿宋" w:hAnsi="仿宋" w:eastAsia="仿宋"/>
          <w:sz w:val="30"/>
          <w:szCs w:val="30"/>
        </w:rPr>
      </w:pPr>
      <w:r>
        <w:rPr>
          <w:rFonts w:hint="eastAsia" w:ascii="仿宋" w:hAnsi="仿宋" w:eastAsia="仿宋"/>
          <w:sz w:val="30"/>
          <w:szCs w:val="30"/>
        </w:rPr>
        <w:t>市司法局是主管司法行政工作的市政府组成部门，主要职责是：承担社区矫正、安置帮教、人民调解、法律服务和援助、普法依法治理、法治宣传教育、司法鉴定、公证、律师等业务工作。</w:t>
      </w:r>
    </w:p>
    <w:p>
      <w:pPr>
        <w:ind w:firstLine="630"/>
        <w:jc w:val="left"/>
        <w:rPr>
          <w:rFonts w:hint="eastAsia" w:ascii="黑体" w:hAnsi="黑体" w:eastAsia="黑体"/>
          <w:sz w:val="30"/>
          <w:szCs w:val="30"/>
        </w:rPr>
      </w:pPr>
      <w:r>
        <w:rPr>
          <w:rFonts w:hint="eastAsia" w:ascii="黑体" w:hAnsi="黑体" w:eastAsia="黑体"/>
          <w:sz w:val="30"/>
          <w:szCs w:val="30"/>
        </w:rPr>
        <w:t>二、部门基本情况</w:t>
      </w:r>
    </w:p>
    <w:p>
      <w:pPr>
        <w:ind w:firstLine="630"/>
        <w:jc w:val="left"/>
        <w:rPr>
          <w:rFonts w:ascii="仿宋" w:hAnsi="仿宋" w:eastAsia="仿宋"/>
          <w:sz w:val="30"/>
          <w:szCs w:val="30"/>
        </w:rPr>
      </w:pPr>
      <w:r>
        <w:rPr>
          <w:rFonts w:hint="eastAsia" w:ascii="仿宋" w:hAnsi="仿宋" w:eastAsia="仿宋"/>
          <w:sz w:val="30"/>
          <w:szCs w:val="30"/>
        </w:rPr>
        <w:t>纳入本套部门决算汇编范围的单位共2个，包括：本级和</w:t>
      </w:r>
      <w:r>
        <w:rPr>
          <w:rFonts w:ascii="仿宋" w:hAnsi="仿宋" w:eastAsia="仿宋"/>
          <w:sz w:val="30"/>
          <w:szCs w:val="30"/>
        </w:rPr>
        <w:t>1</w:t>
      </w:r>
      <w:r>
        <w:rPr>
          <w:rFonts w:hint="eastAsia" w:ascii="仿宋" w:hAnsi="仿宋" w:eastAsia="仿宋"/>
          <w:sz w:val="30"/>
          <w:szCs w:val="30"/>
        </w:rPr>
        <w:t>个所属二级决算单位。</w:t>
      </w:r>
    </w:p>
    <w:p>
      <w:pPr>
        <w:ind w:firstLine="630"/>
        <w:jc w:val="left"/>
        <w:rPr>
          <w:rFonts w:ascii="仿宋" w:hAnsi="仿宋" w:eastAsia="仿宋"/>
          <w:sz w:val="30"/>
          <w:szCs w:val="30"/>
        </w:rPr>
      </w:pPr>
      <w:r>
        <w:rPr>
          <w:rFonts w:hint="eastAsia" w:ascii="仿宋" w:hAnsi="仿宋" w:eastAsia="仿宋"/>
          <w:sz w:val="30"/>
          <w:szCs w:val="30"/>
        </w:rPr>
        <w:t>本部门2020年年末实有人数99人，其中在职人员79人，离休人员0人，退休人员20人；年末其他人员0人。</w:t>
      </w:r>
    </w:p>
    <w:p>
      <w:pPr>
        <w:ind w:firstLine="630"/>
        <w:jc w:val="left"/>
        <w:rPr>
          <w:rFonts w:hint="eastAsia" w:ascii="仿宋" w:hAnsi="仿宋" w:eastAsia="仿宋"/>
          <w:sz w:val="30"/>
          <w:szCs w:val="30"/>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ascii="宋体" w:hAnsi="宋体"/>
          <w:b/>
          <w:sz w:val="32"/>
          <w:szCs w:val="32"/>
        </w:rPr>
      </w:pPr>
      <w:r>
        <w:rPr>
          <w:rFonts w:hint="eastAsia" w:ascii="宋体" w:hAnsi="宋体"/>
          <w:b/>
          <w:sz w:val="32"/>
          <w:szCs w:val="32"/>
        </w:rPr>
        <w:t>第二部分  2020年度部门决算表</w:t>
      </w:r>
    </w:p>
    <w:p>
      <w:pPr>
        <w:widowControl/>
        <w:spacing w:line="600" w:lineRule="exact"/>
        <w:ind w:firstLine="640"/>
        <w:jc w:val="center"/>
        <w:rPr>
          <w:rFonts w:hint="eastAsia" w:ascii="宋体" w:hAnsi="宋体"/>
          <w:b/>
          <w:sz w:val="32"/>
          <w:szCs w:val="32"/>
        </w:rPr>
      </w:pPr>
    </w:p>
    <w:p>
      <w:pPr>
        <w:autoSpaceDE w:val="0"/>
        <w:autoSpaceDN w:val="0"/>
        <w:adjustRightInd w:val="0"/>
        <w:spacing w:line="360" w:lineRule="auto"/>
        <w:jc w:val="left"/>
        <w:rPr>
          <w:rFonts w:hint="eastAsia"/>
          <w:szCs w:val="30"/>
        </w:rPr>
      </w:pPr>
      <w:r>
        <w:drawing>
          <wp:inline distT="0" distB="0" distL="114300" distR="114300">
            <wp:extent cx="5270500" cy="4552950"/>
            <wp:effectExtent l="0" t="0" r="6350" b="0"/>
            <wp:docPr id="1" name="图片 1" descr="15a7d7a5524aabdc9547a8a146e01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a7d7a5524aabdc9547a8a146e01e3"/>
                    <pic:cNvPicPr>
                      <a:picLocks noChangeAspect="1"/>
                    </pic:cNvPicPr>
                  </pic:nvPicPr>
                  <pic:blipFill>
                    <a:blip r:embed="rId4"/>
                    <a:stretch>
                      <a:fillRect/>
                    </a:stretch>
                  </pic:blipFill>
                  <pic:spPr>
                    <a:xfrm>
                      <a:off x="0" y="0"/>
                      <a:ext cx="5270500" cy="4552950"/>
                    </a:xfrm>
                    <a:prstGeom prst="rect">
                      <a:avLst/>
                    </a:prstGeom>
                    <a:noFill/>
                    <a:ln>
                      <a:noFill/>
                    </a:ln>
                  </pic:spPr>
                </pic:pic>
              </a:graphicData>
            </a:graphic>
          </wp:inline>
        </w:drawing>
      </w:r>
    </w:p>
    <w:p>
      <w:pPr>
        <w:autoSpaceDE w:val="0"/>
        <w:autoSpaceDN w:val="0"/>
        <w:adjustRightInd w:val="0"/>
        <w:spacing w:line="360" w:lineRule="auto"/>
        <w:jc w:val="left"/>
        <w:rPr>
          <w:rFonts w:hint="eastAsia" w:ascii="仿宋" w:hAnsi="仿宋" w:eastAsia="仿宋" w:cs="仿宋_GB2312"/>
          <w:kern w:val="0"/>
          <w:sz w:val="30"/>
          <w:szCs w:val="30"/>
        </w:rPr>
      </w:pPr>
      <w:r>
        <w:rPr>
          <w:rFonts w:hint="eastAsia" w:ascii="仿宋" w:hAnsi="仿宋" w:eastAsia="仿宋" w:cs="仿宋_GB2312"/>
          <w:kern w:val="0"/>
          <w:sz w:val="30"/>
          <w:szCs w:val="30"/>
        </w:rPr>
        <w:t xml:space="preserve"> </w:t>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73675" cy="2060575"/>
            <wp:effectExtent l="0" t="0" r="3175" b="15875"/>
            <wp:docPr id="2" name="图片 2" descr="e8f03a93e7a8a9197062b20e4d6be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8f03a93e7a8a9197062b20e4d6be0a"/>
                    <pic:cNvPicPr>
                      <a:picLocks noChangeAspect="1"/>
                    </pic:cNvPicPr>
                  </pic:nvPicPr>
                  <pic:blipFill>
                    <a:blip r:embed="rId5"/>
                    <a:stretch>
                      <a:fillRect/>
                    </a:stretch>
                  </pic:blipFill>
                  <pic:spPr>
                    <a:xfrm>
                      <a:off x="0" y="0"/>
                      <a:ext cx="5273675" cy="206057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72405" cy="2146935"/>
            <wp:effectExtent l="0" t="0" r="4445" b="5715"/>
            <wp:docPr id="3" name="图片 3" descr="11952e469e5c2aa944390a5da41e6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1952e469e5c2aa944390a5da41e60f"/>
                    <pic:cNvPicPr>
                      <a:picLocks noChangeAspect="1"/>
                    </pic:cNvPicPr>
                  </pic:nvPicPr>
                  <pic:blipFill>
                    <a:blip r:embed="rId6"/>
                    <a:stretch>
                      <a:fillRect/>
                    </a:stretch>
                  </pic:blipFill>
                  <pic:spPr>
                    <a:xfrm>
                      <a:off x="0" y="0"/>
                      <a:ext cx="5272405" cy="2146935"/>
                    </a:xfrm>
                    <a:prstGeom prst="rect">
                      <a:avLst/>
                    </a:prstGeom>
                    <a:noFill/>
                    <a:ln>
                      <a:noFill/>
                    </a:ln>
                  </pic:spPr>
                </pic:pic>
              </a:graphicData>
            </a:graphic>
          </wp:inline>
        </w:drawing>
      </w:r>
    </w:p>
    <w:p>
      <w:pPr>
        <w:autoSpaceDE w:val="0"/>
        <w:autoSpaceDN w:val="0"/>
        <w:adjustRightInd w:val="0"/>
        <w:spacing w:line="360" w:lineRule="auto"/>
        <w:jc w:val="left"/>
        <w:rPr>
          <w:rFonts w:hint="eastAsia"/>
        </w:rPr>
      </w:pPr>
    </w:p>
    <w:p>
      <w:pPr>
        <w:autoSpaceDE w:val="0"/>
        <w:autoSpaceDN w:val="0"/>
        <w:adjustRightInd w:val="0"/>
        <w:spacing w:line="360" w:lineRule="auto"/>
        <w:jc w:val="left"/>
      </w:pPr>
      <w:r>
        <w:drawing>
          <wp:inline distT="0" distB="0" distL="114300" distR="114300">
            <wp:extent cx="5273675" cy="3423920"/>
            <wp:effectExtent l="0" t="0" r="3175" b="5080"/>
            <wp:docPr id="4" name="图片 4" descr="f8574d580ffe4cdd1352bba1c0c7e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8574d580ffe4cdd1352bba1c0c7e9f"/>
                    <pic:cNvPicPr>
                      <a:picLocks noChangeAspect="1"/>
                    </pic:cNvPicPr>
                  </pic:nvPicPr>
                  <pic:blipFill>
                    <a:blip r:embed="rId7"/>
                    <a:stretch>
                      <a:fillRect/>
                    </a:stretch>
                  </pic:blipFill>
                  <pic:spPr>
                    <a:xfrm>
                      <a:off x="0" y="0"/>
                      <a:ext cx="5273675" cy="3423920"/>
                    </a:xfrm>
                    <a:prstGeom prst="rect">
                      <a:avLst/>
                    </a:prstGeom>
                    <a:noFill/>
                    <a:ln>
                      <a:noFill/>
                    </a:ln>
                  </pic:spPr>
                </pic:pic>
              </a:graphicData>
            </a:graphic>
          </wp:inline>
        </w:drawing>
      </w: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pP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pPr>
      <w:r>
        <w:drawing>
          <wp:inline distT="0" distB="0" distL="114300" distR="114300">
            <wp:extent cx="5272405" cy="2987675"/>
            <wp:effectExtent l="0" t="0" r="4445" b="3175"/>
            <wp:docPr id="5" name="图片 5" descr="13ee84ee56f2db3a36493e9c1ea05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3ee84ee56f2db3a36493e9c1ea05fa"/>
                    <pic:cNvPicPr>
                      <a:picLocks noChangeAspect="1"/>
                    </pic:cNvPicPr>
                  </pic:nvPicPr>
                  <pic:blipFill>
                    <a:blip r:embed="rId8"/>
                    <a:stretch>
                      <a:fillRect/>
                    </a:stretch>
                  </pic:blipFill>
                  <pic:spPr>
                    <a:xfrm>
                      <a:off x="0" y="0"/>
                      <a:ext cx="5272405" cy="2987675"/>
                    </a:xfrm>
                    <a:prstGeom prst="rect">
                      <a:avLst/>
                    </a:prstGeom>
                    <a:noFill/>
                    <a:ln>
                      <a:noFill/>
                    </a:ln>
                  </pic:spPr>
                </pic:pic>
              </a:graphicData>
            </a:graphic>
          </wp:inline>
        </w:drawing>
      </w:r>
      <w:r>
        <w:drawing>
          <wp:inline distT="0" distB="0" distL="114300" distR="114300">
            <wp:extent cx="3715385" cy="5191760"/>
            <wp:effectExtent l="0" t="0" r="18415" b="8890"/>
            <wp:docPr id="6" name="图片 6" descr="d49b2585779f0b1a52db04c3c70ad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49b2585779f0b1a52db04c3c70adc5"/>
                    <pic:cNvPicPr>
                      <a:picLocks noChangeAspect="1"/>
                    </pic:cNvPicPr>
                  </pic:nvPicPr>
                  <pic:blipFill>
                    <a:blip r:embed="rId9"/>
                    <a:stretch>
                      <a:fillRect/>
                    </a:stretch>
                  </pic:blipFill>
                  <pic:spPr>
                    <a:xfrm>
                      <a:off x="0" y="0"/>
                      <a:ext cx="3715385" cy="5191760"/>
                    </a:xfrm>
                    <a:prstGeom prst="rect">
                      <a:avLst/>
                    </a:prstGeom>
                    <a:noFill/>
                    <a:ln>
                      <a:noFill/>
                    </a:ln>
                  </pic:spPr>
                </pic:pic>
              </a:graphicData>
            </a:graphic>
          </wp:inline>
        </w:drawing>
      </w: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rPr>
          <w:rFonts w:hint="eastAsia"/>
        </w:rPr>
      </w:pPr>
      <w:r>
        <w:drawing>
          <wp:inline distT="0" distB="0" distL="114300" distR="114300">
            <wp:extent cx="4782185" cy="3905885"/>
            <wp:effectExtent l="0" t="0" r="18415" b="18415"/>
            <wp:docPr id="7" name="图片 7" descr="462767b3f254c3ed1ee18cb630c54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462767b3f254c3ed1ee18cb630c542f"/>
                    <pic:cNvPicPr>
                      <a:picLocks noChangeAspect="1"/>
                    </pic:cNvPicPr>
                  </pic:nvPicPr>
                  <pic:blipFill>
                    <a:blip r:embed="rId10"/>
                    <a:stretch>
                      <a:fillRect/>
                    </a:stretch>
                  </pic:blipFill>
                  <pic:spPr>
                    <a:xfrm>
                      <a:off x="0" y="0"/>
                      <a:ext cx="4782185" cy="3905885"/>
                    </a:xfrm>
                    <a:prstGeom prst="rect">
                      <a:avLst/>
                    </a:prstGeom>
                    <a:noFill/>
                    <a:ln>
                      <a:noFill/>
                    </a:ln>
                  </pic:spPr>
                </pic:pic>
              </a:graphicData>
            </a:graphic>
          </wp:inline>
        </w:drawing>
      </w:r>
      <w:r>
        <w:drawing>
          <wp:inline distT="0" distB="0" distL="114300" distR="114300">
            <wp:extent cx="5134610" cy="2896235"/>
            <wp:effectExtent l="0" t="0" r="8890" b="18415"/>
            <wp:docPr id="8" name="图片 8" descr="4ece45b443a0cc6dec6ee2e49c8d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4ece45b443a0cc6dec6ee2e49c8d830"/>
                    <pic:cNvPicPr>
                      <a:picLocks noChangeAspect="1"/>
                    </pic:cNvPicPr>
                  </pic:nvPicPr>
                  <pic:blipFill>
                    <a:blip r:embed="rId11"/>
                    <a:stretch>
                      <a:fillRect/>
                    </a:stretch>
                  </pic:blipFill>
                  <pic:spPr>
                    <a:xfrm>
                      <a:off x="0" y="0"/>
                      <a:ext cx="5134610" cy="2896235"/>
                    </a:xfrm>
                    <a:prstGeom prst="rect">
                      <a:avLst/>
                    </a:prstGeom>
                    <a:noFill/>
                    <a:ln>
                      <a:noFill/>
                    </a:ln>
                  </pic:spPr>
                </pic:pic>
              </a:graphicData>
            </a:graphic>
          </wp:inline>
        </w:drawing>
      </w:r>
    </w:p>
    <w:p>
      <w:pPr>
        <w:widowControl/>
        <w:spacing w:line="600" w:lineRule="exact"/>
        <w:rPr>
          <w:rFonts w:hint="eastAsia" w:ascii="宋体" w:hAnsi="宋体"/>
          <w:b/>
          <w:sz w:val="32"/>
          <w:szCs w:val="32"/>
        </w:rPr>
      </w:pPr>
    </w:p>
    <w:p>
      <w:pPr>
        <w:widowControl/>
        <w:spacing w:line="600" w:lineRule="exact"/>
        <w:ind w:firstLine="640"/>
        <w:jc w:val="center"/>
        <w:rPr>
          <w:rFonts w:hint="eastAsia" w:ascii="宋体" w:hAnsi="宋体"/>
          <w:b/>
          <w:sz w:val="32"/>
          <w:szCs w:val="32"/>
        </w:rPr>
      </w:pPr>
      <w:r>
        <w:rPr>
          <w:rFonts w:hint="eastAsia" w:ascii="宋体" w:hAnsi="宋体"/>
          <w:b/>
          <w:sz w:val="32"/>
          <w:szCs w:val="32"/>
        </w:rPr>
        <w:t>第三部分  2020年度部门决算情况说明</w:t>
      </w:r>
    </w:p>
    <w:p>
      <w:pPr>
        <w:ind w:firstLine="630"/>
        <w:jc w:val="left"/>
        <w:rPr>
          <w:rFonts w:hint="eastAsia" w:ascii="仿宋" w:hAnsi="仿宋" w:eastAsia="仿宋"/>
          <w:sz w:val="30"/>
          <w:szCs w:val="30"/>
        </w:rPr>
      </w:pPr>
    </w:p>
    <w:p>
      <w:pPr>
        <w:ind w:firstLine="630"/>
        <w:jc w:val="left"/>
        <w:rPr>
          <w:rFonts w:hint="eastAsia" w:ascii="黑体" w:hAnsi="黑体" w:eastAsia="黑体"/>
          <w:sz w:val="30"/>
          <w:szCs w:val="30"/>
        </w:rPr>
      </w:pPr>
      <w:r>
        <w:rPr>
          <w:rFonts w:hint="eastAsia" w:ascii="黑体" w:hAnsi="黑体" w:eastAsia="黑体"/>
          <w:sz w:val="30"/>
          <w:szCs w:val="30"/>
        </w:rPr>
        <w:t>一、收入决算情况说明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本部门2020年度收入总计1565.02万元，其中年初结转和结余0万元，较2019年增加345.51万元，增长28.33%；本年收入合计1565.02万元，较2019年增加345.51万元，增长28.33%，主要原因是：公务员人数增加，工资增加。</w:t>
      </w:r>
    </w:p>
    <w:p>
      <w:pPr>
        <w:ind w:firstLine="630"/>
        <w:jc w:val="left"/>
        <w:rPr>
          <w:rFonts w:hint="eastAsia" w:ascii="仿宋" w:hAnsi="仿宋" w:eastAsia="仿宋"/>
          <w:sz w:val="30"/>
          <w:szCs w:val="30"/>
        </w:rPr>
      </w:pPr>
      <w:r>
        <w:rPr>
          <w:rFonts w:hint="eastAsia" w:ascii="仿宋" w:hAnsi="仿宋" w:eastAsia="仿宋"/>
          <w:sz w:val="30"/>
          <w:szCs w:val="30"/>
        </w:rPr>
        <w:t xml:space="preserve">本年收入的具体构成为：财政拨款收入1565.02万元，占100%；事业收入0万元；经营收入0万元；其他收入0万元。  </w:t>
      </w:r>
    </w:p>
    <w:p>
      <w:pPr>
        <w:ind w:firstLine="630"/>
        <w:jc w:val="left"/>
        <w:rPr>
          <w:rFonts w:hint="eastAsia" w:ascii="黑体" w:hAnsi="黑体" w:eastAsia="黑体"/>
          <w:sz w:val="30"/>
          <w:szCs w:val="30"/>
        </w:rPr>
      </w:pPr>
      <w:r>
        <w:rPr>
          <w:rFonts w:hint="eastAsia" w:ascii="黑体" w:hAnsi="黑体" w:eastAsia="黑体"/>
          <w:sz w:val="30"/>
          <w:szCs w:val="30"/>
        </w:rPr>
        <w:t>二、支出决算情况说明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本部门2020年度支出总计1565.02万元，其中本年支出合计1565.02万元，较2019年增加345.51万元，增长28.33%，主要原因是：公务员人数增加，工资增加；年末结转和结余0万元，较2019年增加0万元。</w:t>
      </w:r>
    </w:p>
    <w:p>
      <w:pPr>
        <w:ind w:firstLine="630"/>
        <w:jc w:val="left"/>
        <w:rPr>
          <w:rFonts w:hint="eastAsia" w:ascii="仿宋" w:hAnsi="仿宋" w:eastAsia="仿宋"/>
          <w:sz w:val="30"/>
          <w:szCs w:val="30"/>
        </w:rPr>
      </w:pPr>
      <w:r>
        <w:rPr>
          <w:rFonts w:hint="eastAsia" w:ascii="仿宋" w:hAnsi="仿宋" w:eastAsia="仿宋"/>
          <w:sz w:val="30"/>
          <w:szCs w:val="30"/>
        </w:rPr>
        <w:t>本年支出的具体构成为：基本支出1134.8万元，占72.51%；项目支出430.22万元，占27.49%；经营支出0万元；其他支出（对附属单位补助支出、上缴上级支出）0元。</w:t>
      </w:r>
    </w:p>
    <w:p>
      <w:pPr>
        <w:ind w:firstLine="630"/>
        <w:jc w:val="left"/>
        <w:rPr>
          <w:rFonts w:hint="eastAsia" w:ascii="黑体" w:hAnsi="黑体" w:eastAsia="黑体"/>
          <w:sz w:val="30"/>
          <w:szCs w:val="30"/>
        </w:rPr>
      </w:pPr>
      <w:r>
        <w:rPr>
          <w:rFonts w:hint="eastAsia" w:ascii="黑体" w:hAnsi="黑体" w:eastAsia="黑体"/>
          <w:sz w:val="30"/>
          <w:szCs w:val="30"/>
        </w:rPr>
        <w:t>三、财政拨款支出决算情况说明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本部门2020年度财政拨款本年支出年初预算数为1592.58万元，决算数为1565.02万元，完成年初预算的98%。其中：</w:t>
      </w:r>
    </w:p>
    <w:p>
      <w:pPr>
        <w:ind w:firstLine="630"/>
        <w:jc w:val="left"/>
        <w:rPr>
          <w:rFonts w:hint="eastAsia" w:ascii="仿宋" w:hAnsi="仿宋" w:eastAsia="仿宋"/>
          <w:sz w:val="30"/>
          <w:szCs w:val="30"/>
        </w:rPr>
      </w:pPr>
      <w:r>
        <w:rPr>
          <w:rFonts w:hint="eastAsia" w:ascii="仿宋" w:hAnsi="仿宋" w:eastAsia="仿宋"/>
          <w:sz w:val="30"/>
          <w:szCs w:val="30"/>
        </w:rPr>
        <w:t>（一）一般公共服务支出年初预算数为0万元，决算数为10.79万元，完成年初预算的100%。</w:t>
      </w:r>
    </w:p>
    <w:p>
      <w:pPr>
        <w:ind w:firstLine="630"/>
        <w:jc w:val="left"/>
        <w:rPr>
          <w:rFonts w:hint="eastAsia" w:ascii="仿宋" w:hAnsi="仿宋" w:eastAsia="仿宋"/>
          <w:sz w:val="30"/>
          <w:szCs w:val="30"/>
        </w:rPr>
      </w:pPr>
      <w:r>
        <w:rPr>
          <w:rFonts w:hint="eastAsia" w:ascii="仿宋" w:hAnsi="仿宋" w:eastAsia="仿宋"/>
          <w:sz w:val="30"/>
          <w:szCs w:val="30"/>
        </w:rPr>
        <w:t>（二）公共安全支出年初预算数为1512.07万元，决算数为1554.23万元，完成年初预算的102%。</w:t>
      </w:r>
    </w:p>
    <w:p>
      <w:pPr>
        <w:ind w:firstLine="585"/>
        <w:jc w:val="left"/>
        <w:rPr>
          <w:rFonts w:hint="eastAsia" w:ascii="黑体" w:hAnsi="黑体" w:eastAsia="黑体"/>
          <w:sz w:val="30"/>
          <w:szCs w:val="30"/>
        </w:rPr>
      </w:pPr>
      <w:r>
        <w:rPr>
          <w:rFonts w:hint="eastAsia" w:ascii="黑体" w:hAnsi="黑体" w:eastAsia="黑体"/>
          <w:sz w:val="30"/>
          <w:szCs w:val="30"/>
        </w:rPr>
        <w:t>四、一般公共预算财政拨款基本支出决算情况说明</w:t>
      </w:r>
    </w:p>
    <w:p>
      <w:pPr>
        <w:ind w:firstLine="585"/>
        <w:jc w:val="left"/>
        <w:rPr>
          <w:rFonts w:hint="eastAsia" w:ascii="仿宋" w:hAnsi="仿宋" w:eastAsia="仿宋"/>
          <w:sz w:val="30"/>
          <w:szCs w:val="30"/>
        </w:rPr>
      </w:pPr>
      <w:r>
        <w:rPr>
          <w:rFonts w:hint="eastAsia" w:ascii="仿宋" w:hAnsi="仿宋" w:eastAsia="仿宋"/>
          <w:sz w:val="30"/>
          <w:szCs w:val="30"/>
        </w:rPr>
        <w:t>本部门2020年度一般公共预算财政拨款基本支出1134.81万元，其中：</w:t>
      </w:r>
    </w:p>
    <w:p>
      <w:pPr>
        <w:ind w:firstLine="585"/>
        <w:jc w:val="left"/>
        <w:rPr>
          <w:rFonts w:hint="eastAsia" w:ascii="仿宋" w:hAnsi="仿宋" w:eastAsia="仿宋"/>
          <w:sz w:val="30"/>
          <w:szCs w:val="30"/>
        </w:rPr>
      </w:pPr>
      <w:r>
        <w:rPr>
          <w:rFonts w:hint="eastAsia" w:ascii="仿宋" w:hAnsi="仿宋" w:eastAsia="仿宋"/>
          <w:sz w:val="30"/>
          <w:szCs w:val="30"/>
        </w:rPr>
        <w:t>（一）工资福利支出996.9万元，较2019年增加113.41万元，增长13%，主要原因是：公务员人数增加。</w:t>
      </w:r>
    </w:p>
    <w:p>
      <w:pPr>
        <w:ind w:firstLine="585"/>
        <w:jc w:val="left"/>
        <w:rPr>
          <w:rFonts w:hint="eastAsia" w:ascii="仿宋" w:hAnsi="仿宋" w:eastAsia="仿宋"/>
          <w:sz w:val="30"/>
          <w:szCs w:val="30"/>
        </w:rPr>
      </w:pPr>
      <w:r>
        <w:rPr>
          <w:rFonts w:hint="eastAsia" w:ascii="仿宋" w:hAnsi="仿宋" w:eastAsia="仿宋"/>
          <w:sz w:val="30"/>
          <w:szCs w:val="30"/>
        </w:rPr>
        <w:t>（二）商品和服务支出108.23万元，较2019年减少12.08万元，下降10%，主要原因是：日常开支减少。</w:t>
      </w:r>
    </w:p>
    <w:p>
      <w:pPr>
        <w:ind w:firstLine="585"/>
        <w:jc w:val="left"/>
        <w:rPr>
          <w:rFonts w:hint="eastAsia" w:ascii="仿宋" w:hAnsi="仿宋" w:eastAsia="仿宋"/>
          <w:sz w:val="30"/>
          <w:szCs w:val="30"/>
        </w:rPr>
      </w:pPr>
      <w:r>
        <w:rPr>
          <w:rFonts w:hint="eastAsia" w:ascii="仿宋" w:hAnsi="仿宋" w:eastAsia="仿宋"/>
          <w:sz w:val="30"/>
          <w:szCs w:val="30"/>
        </w:rPr>
        <w:t>（三）对个人和家庭补助支出29.68万元，较2019年减少16.75万元，下降36%，主要原因是：本年无在职人员死亡抚恤金。</w:t>
      </w:r>
    </w:p>
    <w:p>
      <w:pPr>
        <w:ind w:firstLine="585"/>
        <w:jc w:val="left"/>
        <w:rPr>
          <w:rFonts w:hint="eastAsia" w:ascii="仿宋" w:hAnsi="仿宋" w:eastAsia="仿宋"/>
          <w:sz w:val="30"/>
          <w:szCs w:val="30"/>
        </w:rPr>
      </w:pPr>
      <w:r>
        <w:rPr>
          <w:rFonts w:hint="eastAsia" w:ascii="仿宋" w:hAnsi="仿宋" w:eastAsia="仿宋"/>
          <w:sz w:val="30"/>
          <w:szCs w:val="30"/>
        </w:rPr>
        <w:t>（四）资本性支出0万元，较2019年增加0万元。</w:t>
      </w:r>
    </w:p>
    <w:p>
      <w:pPr>
        <w:ind w:firstLine="630"/>
        <w:jc w:val="left"/>
        <w:rPr>
          <w:rFonts w:hint="eastAsia" w:ascii="黑体" w:hAnsi="黑体" w:eastAsia="黑体"/>
          <w:sz w:val="30"/>
          <w:szCs w:val="30"/>
        </w:rPr>
      </w:pPr>
      <w:r>
        <w:rPr>
          <w:rFonts w:hint="eastAsia" w:ascii="黑体" w:hAnsi="黑体" w:eastAsia="黑体"/>
          <w:sz w:val="30"/>
          <w:szCs w:val="30"/>
        </w:rPr>
        <w:t>五、一般公共预算财政拨款“三公”经费支出决算情况说明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本部门2020年度一般公共预算财政拨款“三公”经费支出年初预算数为59.11万元，决算数为56.33万元，完成预算的95%，决算数较2019年增加21.99万元，增长64%，其中：</w:t>
      </w:r>
    </w:p>
    <w:p>
      <w:pPr>
        <w:ind w:firstLine="630"/>
        <w:jc w:val="left"/>
        <w:rPr>
          <w:rFonts w:ascii="仿宋" w:hAnsi="仿宋" w:eastAsia="仿宋"/>
          <w:sz w:val="30"/>
          <w:szCs w:val="30"/>
        </w:rPr>
      </w:pPr>
      <w:r>
        <w:rPr>
          <w:rFonts w:hint="eastAsia" w:ascii="仿宋" w:hAnsi="仿宋" w:eastAsia="仿宋"/>
          <w:sz w:val="30"/>
          <w:szCs w:val="30"/>
        </w:rPr>
        <w:t>（一）因公出国（境）支出年初预算数为0万元，决算数为  0万元。</w:t>
      </w:r>
    </w:p>
    <w:p>
      <w:pPr>
        <w:ind w:firstLine="630"/>
        <w:jc w:val="left"/>
        <w:rPr>
          <w:rFonts w:ascii="仿宋" w:hAnsi="仿宋" w:eastAsia="仿宋"/>
          <w:sz w:val="30"/>
          <w:szCs w:val="30"/>
        </w:rPr>
      </w:pPr>
      <w:r>
        <w:rPr>
          <w:rFonts w:hint="eastAsia" w:ascii="仿宋" w:hAnsi="仿宋" w:eastAsia="仿宋"/>
          <w:sz w:val="30"/>
          <w:szCs w:val="30"/>
        </w:rPr>
        <w:t>（二）公务接待费支出年初预算数为23.9万元，决算数为  21.45万元，完成预算的90%，决算数较2019年减少2.95万元，下降12%，主要原因是今年公务接待次数减少。全年国内公务接待244批，累计接待1797人次，其中外事接待0批，累计接待0人次。</w:t>
      </w:r>
    </w:p>
    <w:p>
      <w:pPr>
        <w:ind w:firstLine="630"/>
        <w:jc w:val="left"/>
        <w:rPr>
          <w:rFonts w:hint="eastAsia" w:ascii="仿宋" w:hAnsi="仿宋" w:eastAsia="仿宋"/>
          <w:sz w:val="30"/>
          <w:szCs w:val="30"/>
        </w:rPr>
      </w:pPr>
      <w:r>
        <w:rPr>
          <w:rFonts w:hint="eastAsia" w:ascii="仿宋" w:hAnsi="仿宋" w:eastAsia="仿宋"/>
          <w:sz w:val="30"/>
          <w:szCs w:val="30"/>
        </w:rPr>
        <w:t>（三）公务用车购置及运行维护费支出34.89万元，其中公务用车购置年初预算数为26.21万元，决算数为26.21万元，完成预算的100%；公务用车运行维护费支出年初预算数为9万元，决算数为8.68万元，完成预算的96%。</w:t>
      </w:r>
    </w:p>
    <w:p>
      <w:pPr>
        <w:ind w:firstLine="630"/>
        <w:jc w:val="left"/>
        <w:rPr>
          <w:rFonts w:hint="eastAsia" w:ascii="黑体" w:hAnsi="黑体" w:eastAsia="黑体"/>
          <w:sz w:val="30"/>
          <w:szCs w:val="30"/>
        </w:rPr>
      </w:pPr>
      <w:r>
        <w:rPr>
          <w:rFonts w:hint="eastAsia" w:ascii="黑体" w:hAnsi="黑体" w:eastAsia="黑体"/>
          <w:sz w:val="30"/>
          <w:szCs w:val="30"/>
        </w:rPr>
        <w:t>六、机关运行经费支出情况说明</w:t>
      </w:r>
    </w:p>
    <w:p>
      <w:pPr>
        <w:ind w:firstLine="630"/>
        <w:jc w:val="left"/>
        <w:rPr>
          <w:rFonts w:hint="eastAsia" w:ascii="仿宋" w:hAnsi="仿宋" w:eastAsia="仿宋"/>
          <w:sz w:val="30"/>
          <w:szCs w:val="30"/>
        </w:rPr>
      </w:pPr>
      <w:r>
        <w:rPr>
          <w:rFonts w:hint="eastAsia" w:ascii="仿宋" w:hAnsi="仿宋" w:eastAsia="仿宋"/>
          <w:sz w:val="30"/>
          <w:szCs w:val="30"/>
        </w:rPr>
        <w:t xml:space="preserve">本部门2020年度机关运行经费支出136.08万元（与部门决算中行政单位和参照公务员法管理事业单位一般公共预算财政拨款基本支出中公用经费之和一致），较年初预算数（或者上年决算数）减少15.12万元，降低10 %，主要原因是：落实过紧日子要求压减10%支出。 </w:t>
      </w:r>
    </w:p>
    <w:p>
      <w:pPr>
        <w:ind w:firstLine="630"/>
        <w:jc w:val="left"/>
        <w:rPr>
          <w:rFonts w:ascii="黑体" w:hAnsi="黑体" w:eastAsia="黑体"/>
          <w:sz w:val="30"/>
          <w:szCs w:val="30"/>
        </w:rPr>
      </w:pPr>
      <w:r>
        <w:rPr>
          <w:rFonts w:hint="eastAsia" w:ascii="仿宋" w:hAnsi="仿宋" w:eastAsia="仿宋"/>
          <w:sz w:val="30"/>
          <w:szCs w:val="30"/>
        </w:rPr>
        <w:t xml:space="preserve"> </w:t>
      </w:r>
      <w:r>
        <w:rPr>
          <w:rFonts w:hint="eastAsia" w:ascii="黑体" w:hAnsi="黑体" w:eastAsia="黑体"/>
          <w:sz w:val="30"/>
          <w:szCs w:val="30"/>
        </w:rPr>
        <w:t>七、政府采购支出情况说明</w:t>
      </w:r>
    </w:p>
    <w:p>
      <w:pPr>
        <w:pStyle w:val="12"/>
        <w:spacing w:line="600" w:lineRule="atLeast"/>
        <w:ind w:firstLine="600"/>
        <w:rPr>
          <w:rFonts w:hint="eastAsia" w:ascii="仿宋" w:hAnsi="仿宋" w:eastAsia="仿宋"/>
          <w:sz w:val="30"/>
          <w:szCs w:val="30"/>
        </w:rPr>
      </w:pPr>
      <w:r>
        <w:rPr>
          <w:rFonts w:hint="eastAsia" w:ascii="仿宋" w:hAnsi="仿宋" w:eastAsia="仿宋"/>
          <w:sz w:val="30"/>
          <w:szCs w:val="30"/>
        </w:rPr>
        <w:t>本部门2020年度政府采购支出总额72.0734万元，其中：政府采购货物支出31.5767万元、政府采购工程支出40.4967万元、政府采购服务支出0万元。授予中小企业合同金额0万元，占政府采购支出总额的0%，其中：授予小微企业合同金额72.0734万元，占政府采购支出总额的100%。（省级部门公开的政府采购金额的计算口径为：本部门纳入2020年部门预算范围的各项政府采购支出金额之和，不包括涉密采购项目的支出金额。）</w:t>
      </w:r>
    </w:p>
    <w:p>
      <w:pPr>
        <w:ind w:firstLine="630"/>
        <w:jc w:val="left"/>
        <w:rPr>
          <w:rFonts w:hint="eastAsia" w:ascii="黑体" w:hAnsi="黑体" w:eastAsia="黑体"/>
          <w:sz w:val="30"/>
          <w:szCs w:val="30"/>
        </w:rPr>
      </w:pPr>
      <w:r>
        <w:rPr>
          <w:rFonts w:hint="eastAsia" w:ascii="黑体" w:hAnsi="黑体" w:eastAsia="黑体"/>
          <w:sz w:val="30"/>
          <w:szCs w:val="30"/>
        </w:rPr>
        <w:t>八、国有资产占用情况说明。</w:t>
      </w:r>
    </w:p>
    <w:p>
      <w:pPr>
        <w:ind w:firstLine="630"/>
        <w:jc w:val="left"/>
        <w:rPr>
          <w:rFonts w:ascii="仿宋" w:hAnsi="仿宋" w:eastAsia="仿宋"/>
          <w:kern w:val="0"/>
          <w:sz w:val="30"/>
          <w:szCs w:val="30"/>
        </w:rPr>
      </w:pPr>
      <w:r>
        <w:rPr>
          <w:rFonts w:hint="eastAsia" w:ascii="仿宋" w:hAnsi="仿宋" w:eastAsia="仿宋"/>
          <w:kern w:val="0"/>
          <w:sz w:val="30"/>
          <w:szCs w:val="30"/>
        </w:rPr>
        <w:t>截止2020年12月31日，本部门（单位）国有资产占用情况见公开10表《国有资产占用情况表》。其中车辆中的其他用车主要是本部门共有车辆</w:t>
      </w:r>
      <w:r>
        <w:rPr>
          <w:rFonts w:ascii="仿宋" w:hAnsi="仿宋" w:eastAsia="仿宋"/>
          <w:kern w:val="0"/>
          <w:sz w:val="30"/>
          <w:szCs w:val="30"/>
        </w:rPr>
        <w:t>2</w:t>
      </w:r>
      <w:r>
        <w:rPr>
          <w:rFonts w:hint="eastAsia" w:ascii="仿宋" w:hAnsi="仿宋" w:eastAsia="仿宋"/>
          <w:kern w:val="0"/>
          <w:sz w:val="30"/>
          <w:szCs w:val="30"/>
        </w:rPr>
        <w:t>辆，其中，副部（省）级及以上领导用车</w:t>
      </w:r>
      <w:r>
        <w:rPr>
          <w:rFonts w:ascii="仿宋" w:hAnsi="仿宋" w:eastAsia="仿宋"/>
          <w:kern w:val="0"/>
          <w:sz w:val="30"/>
          <w:szCs w:val="30"/>
        </w:rPr>
        <w:t>0</w:t>
      </w:r>
      <w:r>
        <w:rPr>
          <w:rFonts w:hint="eastAsia" w:ascii="仿宋" w:hAnsi="仿宋" w:eastAsia="仿宋"/>
          <w:kern w:val="0"/>
          <w:sz w:val="30"/>
          <w:szCs w:val="30"/>
        </w:rPr>
        <w:t>辆、主要领导干部用车</w:t>
      </w:r>
      <w:r>
        <w:rPr>
          <w:rFonts w:ascii="仿宋" w:hAnsi="仿宋" w:eastAsia="仿宋"/>
          <w:kern w:val="0"/>
          <w:sz w:val="30"/>
          <w:szCs w:val="30"/>
        </w:rPr>
        <w:t>0</w:t>
      </w:r>
      <w:r>
        <w:rPr>
          <w:rFonts w:hint="eastAsia" w:ascii="仿宋" w:hAnsi="仿宋" w:eastAsia="仿宋"/>
          <w:kern w:val="0"/>
          <w:sz w:val="30"/>
          <w:szCs w:val="30"/>
        </w:rPr>
        <w:t>辆、机要通信用车</w:t>
      </w:r>
      <w:r>
        <w:rPr>
          <w:rFonts w:ascii="仿宋" w:hAnsi="仿宋" w:eastAsia="仿宋"/>
          <w:kern w:val="0"/>
          <w:sz w:val="30"/>
          <w:szCs w:val="30"/>
        </w:rPr>
        <w:t>0</w:t>
      </w:r>
      <w:r>
        <w:rPr>
          <w:rFonts w:hint="eastAsia" w:ascii="仿宋" w:hAnsi="仿宋" w:eastAsia="仿宋"/>
          <w:kern w:val="0"/>
          <w:sz w:val="30"/>
          <w:szCs w:val="30"/>
        </w:rPr>
        <w:t>辆、应急保障用车</w:t>
      </w:r>
      <w:r>
        <w:rPr>
          <w:rFonts w:ascii="仿宋" w:hAnsi="仿宋" w:eastAsia="仿宋"/>
          <w:kern w:val="0"/>
          <w:sz w:val="30"/>
          <w:szCs w:val="30"/>
        </w:rPr>
        <w:t>0</w:t>
      </w:r>
      <w:r>
        <w:rPr>
          <w:rFonts w:hint="eastAsia" w:ascii="仿宋" w:hAnsi="仿宋" w:eastAsia="仿宋"/>
          <w:kern w:val="0"/>
          <w:sz w:val="30"/>
          <w:szCs w:val="30"/>
        </w:rPr>
        <w:t>辆、执法执勤用车</w:t>
      </w:r>
      <w:r>
        <w:rPr>
          <w:rFonts w:ascii="仿宋" w:hAnsi="仿宋" w:eastAsia="仿宋"/>
          <w:kern w:val="0"/>
          <w:sz w:val="30"/>
          <w:szCs w:val="30"/>
        </w:rPr>
        <w:t>2</w:t>
      </w:r>
      <w:r>
        <w:rPr>
          <w:rFonts w:hint="eastAsia" w:ascii="仿宋" w:hAnsi="仿宋" w:eastAsia="仿宋"/>
          <w:kern w:val="0"/>
          <w:sz w:val="30"/>
          <w:szCs w:val="30"/>
        </w:rPr>
        <w:t>辆、特种专业技术用车</w:t>
      </w:r>
      <w:r>
        <w:rPr>
          <w:rFonts w:ascii="仿宋" w:hAnsi="仿宋" w:eastAsia="仿宋"/>
          <w:kern w:val="0"/>
          <w:sz w:val="30"/>
          <w:szCs w:val="30"/>
        </w:rPr>
        <w:t>0</w:t>
      </w:r>
      <w:r>
        <w:rPr>
          <w:rFonts w:hint="eastAsia" w:ascii="仿宋" w:hAnsi="仿宋" w:eastAsia="仿宋"/>
          <w:kern w:val="0"/>
          <w:sz w:val="30"/>
          <w:szCs w:val="30"/>
        </w:rPr>
        <w:t>辆、其他用车</w:t>
      </w:r>
      <w:r>
        <w:rPr>
          <w:rFonts w:ascii="仿宋" w:hAnsi="仿宋" w:eastAsia="仿宋"/>
          <w:kern w:val="0"/>
          <w:sz w:val="30"/>
          <w:szCs w:val="30"/>
        </w:rPr>
        <w:t>0</w:t>
      </w:r>
      <w:r>
        <w:rPr>
          <w:rFonts w:hint="eastAsia" w:ascii="仿宋" w:hAnsi="仿宋" w:eastAsia="仿宋"/>
          <w:kern w:val="0"/>
          <w:sz w:val="30"/>
          <w:szCs w:val="30"/>
        </w:rPr>
        <w:t>辆，；单位价值</w:t>
      </w:r>
      <w:r>
        <w:rPr>
          <w:rFonts w:ascii="仿宋" w:hAnsi="仿宋" w:eastAsia="仿宋"/>
          <w:kern w:val="0"/>
          <w:sz w:val="30"/>
          <w:szCs w:val="30"/>
        </w:rPr>
        <w:t>50</w:t>
      </w:r>
      <w:r>
        <w:rPr>
          <w:rFonts w:hint="eastAsia" w:ascii="仿宋" w:hAnsi="仿宋" w:eastAsia="仿宋"/>
          <w:kern w:val="0"/>
          <w:sz w:val="30"/>
          <w:szCs w:val="30"/>
        </w:rPr>
        <w:t>万元以上通用设备</w:t>
      </w:r>
      <w:r>
        <w:rPr>
          <w:rFonts w:ascii="仿宋" w:hAnsi="仿宋" w:eastAsia="仿宋"/>
          <w:kern w:val="0"/>
          <w:sz w:val="30"/>
          <w:szCs w:val="30"/>
        </w:rPr>
        <w:t>0</w:t>
      </w:r>
      <w:r>
        <w:rPr>
          <w:rFonts w:hint="eastAsia" w:ascii="仿宋" w:hAnsi="仿宋" w:eastAsia="仿宋"/>
          <w:kern w:val="0"/>
          <w:sz w:val="30"/>
          <w:szCs w:val="30"/>
        </w:rPr>
        <w:t>台（套）；单位价值</w:t>
      </w:r>
      <w:r>
        <w:rPr>
          <w:rFonts w:ascii="仿宋" w:hAnsi="仿宋" w:eastAsia="仿宋"/>
          <w:kern w:val="0"/>
          <w:sz w:val="30"/>
          <w:szCs w:val="30"/>
        </w:rPr>
        <w:t>100</w:t>
      </w:r>
      <w:r>
        <w:rPr>
          <w:rFonts w:hint="eastAsia" w:ascii="仿宋" w:hAnsi="仿宋" w:eastAsia="仿宋"/>
          <w:kern w:val="0"/>
          <w:sz w:val="30"/>
          <w:szCs w:val="30"/>
        </w:rPr>
        <w:t>万元以上专用设备</w:t>
      </w:r>
      <w:r>
        <w:rPr>
          <w:rFonts w:ascii="仿宋" w:hAnsi="仿宋" w:eastAsia="仿宋"/>
          <w:kern w:val="0"/>
          <w:sz w:val="30"/>
          <w:szCs w:val="30"/>
        </w:rPr>
        <w:t>0</w:t>
      </w:r>
      <w:r>
        <w:rPr>
          <w:rFonts w:hint="eastAsia" w:ascii="仿宋" w:hAnsi="仿宋" w:eastAsia="仿宋"/>
          <w:kern w:val="0"/>
          <w:sz w:val="30"/>
          <w:szCs w:val="30"/>
        </w:rPr>
        <w:t>台（套）。</w:t>
      </w:r>
    </w:p>
    <w:p>
      <w:pPr>
        <w:ind w:firstLine="630"/>
        <w:jc w:val="left"/>
        <w:rPr>
          <w:rFonts w:hint="eastAsia" w:ascii="仿宋" w:hAnsi="仿宋" w:eastAsia="仿宋"/>
          <w:kern w:val="0"/>
          <w:sz w:val="30"/>
          <w:szCs w:val="30"/>
        </w:rPr>
      </w:pPr>
      <w:r>
        <w:rPr>
          <w:rFonts w:hint="eastAsia" w:ascii="仿宋" w:hAnsi="仿宋" w:eastAsia="仿宋"/>
          <w:kern w:val="0"/>
          <w:sz w:val="30"/>
          <w:szCs w:val="30"/>
        </w:rPr>
        <w:t>九、预算绩效情况说明</w:t>
      </w:r>
    </w:p>
    <w:p>
      <w:pPr>
        <w:pStyle w:val="6"/>
        <w:widowControl/>
        <w:numPr>
          <w:ilvl w:val="0"/>
          <w:numId w:val="2"/>
        </w:numPr>
        <w:spacing w:before="0" w:beforeAutospacing="0" w:after="0" w:afterAutospacing="0"/>
        <w:ind w:firstLine="420"/>
        <w:rPr>
          <w:rFonts w:ascii="仿宋" w:hAnsi="仿宋" w:eastAsia="仿宋"/>
          <w:sz w:val="30"/>
          <w:szCs w:val="30"/>
        </w:rPr>
      </w:pPr>
      <w:r>
        <w:rPr>
          <w:rFonts w:hint="eastAsia" w:ascii="仿宋" w:hAnsi="仿宋" w:eastAsia="仿宋"/>
          <w:sz w:val="30"/>
          <w:szCs w:val="30"/>
        </w:rPr>
        <w:t xml:space="preserve">    绩效目标分解下达情况</w:t>
      </w:r>
    </w:p>
    <w:p>
      <w:pPr>
        <w:pStyle w:val="6"/>
        <w:widowControl/>
        <w:spacing w:before="0" w:beforeAutospacing="0" w:after="0" w:afterAutospacing="0"/>
        <w:ind w:firstLine="420"/>
        <w:rPr>
          <w:rFonts w:ascii="仿宋" w:hAnsi="仿宋" w:eastAsia="仿宋"/>
          <w:sz w:val="30"/>
          <w:szCs w:val="30"/>
        </w:rPr>
      </w:pPr>
      <w:r>
        <w:rPr>
          <w:rFonts w:hint="eastAsia" w:ascii="仿宋" w:hAnsi="仿宋" w:eastAsia="仿宋"/>
          <w:sz w:val="30"/>
          <w:szCs w:val="30"/>
        </w:rPr>
        <w:t>（一）中央下达政法转移支付政法经费分类保障经费147万元，法律援助办案经费9万元。</w:t>
      </w:r>
    </w:p>
    <w:p>
      <w:pPr>
        <w:pStyle w:val="6"/>
        <w:widowControl/>
        <w:spacing w:before="0" w:beforeAutospacing="0" w:after="0" w:afterAutospacing="0"/>
        <w:ind w:firstLine="420"/>
        <w:rPr>
          <w:rFonts w:ascii="仿宋" w:hAnsi="仿宋" w:eastAsia="仿宋"/>
          <w:sz w:val="30"/>
          <w:szCs w:val="30"/>
        </w:rPr>
      </w:pPr>
      <w:r>
        <w:rPr>
          <w:rFonts w:hint="eastAsia" w:ascii="仿宋" w:hAnsi="仿宋" w:eastAsia="仿宋"/>
          <w:sz w:val="30"/>
          <w:szCs w:val="30"/>
        </w:rPr>
        <w:t>（二）省级安排政法转移支付资金61万元，其中刑满释放资金22万元。</w:t>
      </w:r>
    </w:p>
    <w:p>
      <w:pPr>
        <w:pStyle w:val="6"/>
        <w:widowControl/>
        <w:spacing w:before="0" w:beforeAutospacing="0" w:after="0" w:afterAutospacing="0"/>
        <w:ind w:firstLine="420"/>
        <w:rPr>
          <w:rFonts w:ascii="仿宋" w:hAnsi="仿宋" w:eastAsia="仿宋"/>
          <w:sz w:val="30"/>
          <w:szCs w:val="30"/>
        </w:rPr>
      </w:pPr>
      <w:r>
        <w:rPr>
          <w:rFonts w:hint="eastAsia" w:ascii="仿宋" w:hAnsi="仿宋" w:eastAsia="仿宋"/>
          <w:sz w:val="30"/>
          <w:szCs w:val="30"/>
        </w:rPr>
        <w:t>二、绩效目标完成情况</w:t>
      </w:r>
    </w:p>
    <w:p>
      <w:pPr>
        <w:pStyle w:val="6"/>
        <w:widowControl/>
        <w:spacing w:before="0" w:beforeAutospacing="0" w:after="0" w:afterAutospacing="0"/>
        <w:ind w:firstLine="420"/>
        <w:rPr>
          <w:rFonts w:ascii="仿宋" w:hAnsi="仿宋" w:eastAsia="仿宋"/>
          <w:sz w:val="30"/>
          <w:szCs w:val="30"/>
        </w:rPr>
      </w:pPr>
      <w:r>
        <w:rPr>
          <w:rFonts w:hint="eastAsia" w:ascii="仿宋" w:hAnsi="仿宋" w:eastAsia="仿宋"/>
          <w:sz w:val="30"/>
          <w:szCs w:val="30"/>
        </w:rPr>
        <w:t>（一）资金投入情况分析。</w:t>
      </w:r>
    </w:p>
    <w:p>
      <w:pPr>
        <w:ind w:firstLine="600" w:firstLineChars="200"/>
        <w:rPr>
          <w:rFonts w:ascii="仿宋" w:hAnsi="仿宋" w:eastAsia="仿宋"/>
          <w:kern w:val="0"/>
          <w:sz w:val="30"/>
          <w:szCs w:val="30"/>
        </w:rPr>
      </w:pPr>
      <w:r>
        <w:rPr>
          <w:rFonts w:hint="eastAsia" w:ascii="仿宋" w:hAnsi="仿宋" w:eastAsia="仿宋"/>
          <w:kern w:val="0"/>
          <w:sz w:val="30"/>
          <w:szCs w:val="30"/>
        </w:rPr>
        <w:t>1.项目资金到位情况。</w:t>
      </w:r>
    </w:p>
    <w:p>
      <w:pPr>
        <w:rPr>
          <w:rFonts w:ascii="仿宋" w:hAnsi="仿宋" w:eastAsia="仿宋"/>
          <w:kern w:val="0"/>
          <w:sz w:val="30"/>
          <w:szCs w:val="30"/>
        </w:rPr>
      </w:pPr>
      <w:r>
        <w:rPr>
          <w:rFonts w:hint="eastAsia" w:ascii="仿宋" w:hAnsi="仿宋" w:eastAsia="仿宋"/>
          <w:kern w:val="0"/>
          <w:sz w:val="30"/>
          <w:szCs w:val="30"/>
        </w:rPr>
        <w:t xml:space="preserve">    德兴市司法局政法转移支付资金年度到位总额为147万元，其中中央86万元；省级61万元。</w:t>
      </w:r>
    </w:p>
    <w:p>
      <w:pPr>
        <w:rPr>
          <w:rFonts w:ascii="仿宋" w:hAnsi="仿宋" w:eastAsia="仿宋"/>
          <w:kern w:val="0"/>
          <w:sz w:val="30"/>
          <w:szCs w:val="30"/>
        </w:rPr>
      </w:pPr>
      <w:r>
        <w:rPr>
          <w:rFonts w:hint="eastAsia" w:ascii="仿宋" w:hAnsi="仿宋" w:eastAsia="仿宋"/>
          <w:kern w:val="0"/>
          <w:sz w:val="30"/>
          <w:szCs w:val="30"/>
        </w:rPr>
        <w:t>2.项目资金执行情况。</w:t>
      </w:r>
    </w:p>
    <w:p>
      <w:pPr>
        <w:rPr>
          <w:rFonts w:ascii="仿宋" w:hAnsi="仿宋" w:eastAsia="仿宋"/>
          <w:kern w:val="0"/>
          <w:sz w:val="30"/>
          <w:szCs w:val="30"/>
        </w:rPr>
      </w:pPr>
      <w:r>
        <w:rPr>
          <w:rFonts w:hint="eastAsia" w:ascii="仿宋" w:hAnsi="仿宋" w:eastAsia="仿宋"/>
          <w:kern w:val="0"/>
          <w:sz w:val="30"/>
          <w:szCs w:val="30"/>
        </w:rPr>
        <w:t xml:space="preserve">    德兴市司法局政法转移支付年度资金执行总额为147万元，其中中央86万元；省级61万元。所有资金按计划进行资金拨付，无截留、无挪用等现象。</w:t>
      </w:r>
    </w:p>
    <w:p>
      <w:pPr>
        <w:pStyle w:val="6"/>
        <w:widowControl/>
        <w:spacing w:before="0" w:beforeAutospacing="0" w:after="0" w:afterAutospacing="0"/>
        <w:ind w:left="420"/>
        <w:rPr>
          <w:rFonts w:ascii="仿宋" w:hAnsi="仿宋" w:eastAsia="仿宋"/>
          <w:sz w:val="30"/>
          <w:szCs w:val="30"/>
        </w:rPr>
      </w:pPr>
      <w:r>
        <w:rPr>
          <w:rFonts w:hint="eastAsia" w:ascii="仿宋" w:hAnsi="仿宋" w:eastAsia="仿宋"/>
          <w:sz w:val="30"/>
          <w:szCs w:val="30"/>
        </w:rPr>
        <w:t>（二）总体绩效目标完成情况分析。</w:t>
      </w:r>
    </w:p>
    <w:p>
      <w:pPr>
        <w:pStyle w:val="6"/>
        <w:widowControl/>
        <w:spacing w:before="0" w:beforeAutospacing="0" w:after="0" w:afterAutospacing="0"/>
        <w:ind w:firstLine="420"/>
        <w:rPr>
          <w:rFonts w:ascii="仿宋" w:hAnsi="仿宋" w:eastAsia="仿宋"/>
          <w:sz w:val="30"/>
          <w:szCs w:val="30"/>
        </w:rPr>
      </w:pPr>
      <w:r>
        <w:rPr>
          <w:rFonts w:hint="eastAsia" w:ascii="仿宋" w:hAnsi="仿宋" w:eastAsia="仿宋"/>
          <w:sz w:val="30"/>
          <w:szCs w:val="30"/>
        </w:rPr>
        <w:t>从整体情况来看，我局严格按照年初预算进行部门整体支出。2020年，德兴市司法局在德兴市委、市政府的正确领导下，在上饶市司法局各科室的精心指导下，以习近平新时代中国特色社会主义思想为工作指导，贯彻落实党的十九大、十九届二中、三中、四中全会以及2020年全国两会</w:t>
      </w:r>
      <w:bookmarkStart w:id="0" w:name="_GoBack"/>
      <w:bookmarkEnd w:id="0"/>
      <w:r>
        <w:rPr>
          <w:rFonts w:hint="eastAsia" w:ascii="仿宋" w:hAnsi="仿宋" w:eastAsia="仿宋"/>
          <w:sz w:val="30"/>
          <w:szCs w:val="30"/>
        </w:rPr>
        <w:t>精神，以服务德兴经济建设、促进社会公平公正发展为己任，以提升司法行政服务水平、建设一流司法行政队伍为目标，紧密围绕疫情防控及经济社会发展的中心大局工作，各项司法行政工作取得新的进步。</w:t>
      </w:r>
    </w:p>
    <w:p>
      <w:pPr>
        <w:pStyle w:val="6"/>
        <w:widowControl/>
        <w:spacing w:before="0" w:beforeAutospacing="0" w:after="0" w:afterAutospacing="0"/>
        <w:ind w:firstLine="420"/>
        <w:rPr>
          <w:rFonts w:ascii="仿宋" w:hAnsi="仿宋" w:eastAsia="仿宋"/>
          <w:sz w:val="30"/>
          <w:szCs w:val="30"/>
        </w:rPr>
      </w:pPr>
      <w:r>
        <w:rPr>
          <w:rFonts w:hint="eastAsia" w:ascii="仿宋" w:hAnsi="仿宋" w:eastAsia="仿宋"/>
          <w:sz w:val="30"/>
          <w:szCs w:val="30"/>
        </w:rPr>
        <w:t>（三）绩效指标完成情况分析</w:t>
      </w:r>
    </w:p>
    <w:p>
      <w:pPr>
        <w:pStyle w:val="6"/>
        <w:widowControl/>
        <w:numPr>
          <w:ilvl w:val="0"/>
          <w:numId w:val="3"/>
        </w:numPr>
        <w:spacing w:before="0" w:beforeAutospacing="0" w:after="0" w:afterAutospacing="0"/>
        <w:ind w:left="420"/>
        <w:rPr>
          <w:rFonts w:ascii="仿宋" w:hAnsi="仿宋" w:eastAsia="仿宋"/>
          <w:sz w:val="30"/>
          <w:szCs w:val="30"/>
        </w:rPr>
      </w:pPr>
      <w:r>
        <w:rPr>
          <w:rFonts w:hint="eastAsia" w:ascii="仿宋" w:hAnsi="仿宋" w:eastAsia="仿宋"/>
          <w:sz w:val="30"/>
          <w:szCs w:val="30"/>
        </w:rPr>
        <w:t>产出指标完成情况分析</w:t>
      </w:r>
    </w:p>
    <w:p>
      <w:pPr>
        <w:pStyle w:val="2"/>
        <w:spacing w:line="560" w:lineRule="exact"/>
        <w:ind w:firstLine="600"/>
        <w:rPr>
          <w:rFonts w:ascii="仿宋" w:hAnsi="仿宋" w:eastAsia="仿宋"/>
          <w:kern w:val="0"/>
          <w:sz w:val="30"/>
          <w:szCs w:val="30"/>
        </w:rPr>
      </w:pPr>
      <w:r>
        <w:rPr>
          <w:rFonts w:hint="eastAsia" w:ascii="仿宋" w:hAnsi="仿宋" w:eastAsia="仿宋"/>
          <w:kern w:val="0"/>
          <w:sz w:val="30"/>
          <w:szCs w:val="30"/>
        </w:rPr>
        <w:t>（1）数量指标：全市各级调解组织共调解民间纠纷2036件，调解成功1996件，其中疑难复杂案件38件，成功率达98%，排查纠纷733件，预防纠纷600件，为维护基层社会稳定发挥了重要作用。全市累计接收社区矫正对象1435名，其中在册社区矫正对象225名，社区矫正志愿者总数达204人；接收审前调查64件,出具评估意见共64件。今年以来，从监所接回刑满释放人员152人，发放接送和生活补助经费共计189450元，安置帮教率达100%。</w:t>
      </w:r>
    </w:p>
    <w:p>
      <w:pPr>
        <w:pStyle w:val="6"/>
        <w:widowControl/>
        <w:spacing w:before="0" w:beforeAutospacing="0" w:after="0" w:afterAutospacing="0"/>
        <w:ind w:firstLine="600" w:firstLineChars="200"/>
        <w:rPr>
          <w:rFonts w:ascii="仿宋" w:hAnsi="仿宋" w:eastAsia="仿宋"/>
          <w:sz w:val="30"/>
          <w:szCs w:val="30"/>
        </w:rPr>
      </w:pPr>
      <w:r>
        <w:rPr>
          <w:rFonts w:hint="eastAsia" w:ascii="仿宋" w:hAnsi="仿宋" w:eastAsia="仿宋"/>
          <w:sz w:val="30"/>
          <w:szCs w:val="30"/>
        </w:rPr>
        <w:t>（2）质量指标：严格规范公正文明执法，负责协调行政执法体制改革和行政执法的普遍性重要性问题。</w:t>
      </w:r>
    </w:p>
    <w:p>
      <w:pPr>
        <w:pStyle w:val="6"/>
        <w:widowControl/>
        <w:spacing w:before="0" w:beforeAutospacing="0" w:after="0" w:afterAutospacing="0"/>
        <w:ind w:firstLine="600" w:firstLineChars="200"/>
        <w:rPr>
          <w:rFonts w:ascii="仿宋" w:hAnsi="仿宋" w:eastAsia="仿宋"/>
          <w:sz w:val="30"/>
          <w:szCs w:val="30"/>
        </w:rPr>
      </w:pPr>
      <w:r>
        <w:rPr>
          <w:rFonts w:hint="eastAsia" w:ascii="仿宋" w:hAnsi="仿宋" w:eastAsia="仿宋"/>
          <w:sz w:val="30"/>
          <w:szCs w:val="30"/>
        </w:rPr>
        <w:t>（3）成本指标：在2020年度完成各项资金支出。</w:t>
      </w:r>
    </w:p>
    <w:p>
      <w:pPr>
        <w:pStyle w:val="6"/>
        <w:widowControl/>
        <w:spacing w:before="0" w:beforeAutospacing="0" w:after="0" w:afterAutospacing="0"/>
        <w:ind w:firstLine="600" w:firstLineChars="200"/>
        <w:rPr>
          <w:rFonts w:ascii="仿宋" w:hAnsi="仿宋" w:eastAsia="仿宋"/>
          <w:sz w:val="30"/>
          <w:szCs w:val="30"/>
        </w:rPr>
      </w:pPr>
      <w:r>
        <w:rPr>
          <w:rFonts w:hint="eastAsia" w:ascii="仿宋" w:hAnsi="仿宋" w:eastAsia="仿宋"/>
          <w:sz w:val="30"/>
          <w:szCs w:val="30"/>
        </w:rPr>
        <w:t>2、效益指标完成情况分析</w:t>
      </w:r>
    </w:p>
    <w:p>
      <w:pPr>
        <w:pStyle w:val="6"/>
        <w:widowControl/>
        <w:spacing w:before="0" w:beforeAutospacing="0" w:after="0" w:afterAutospacing="0"/>
        <w:ind w:left="420"/>
        <w:rPr>
          <w:rFonts w:ascii="仿宋" w:hAnsi="仿宋" w:eastAsia="仿宋"/>
          <w:sz w:val="30"/>
          <w:szCs w:val="30"/>
        </w:rPr>
      </w:pPr>
      <w:r>
        <w:rPr>
          <w:rFonts w:hint="eastAsia" w:ascii="仿宋" w:hAnsi="仿宋" w:eastAsia="仿宋"/>
          <w:sz w:val="30"/>
          <w:szCs w:val="30"/>
        </w:rPr>
        <w:t>拓展基地类型，大力打造社区矫正公益劳动基地和警示教育基地，实现基地功能多样化，取得良好教育和矫正效果。组织司法所不定期走访社区矫正对象，详细了解社区矫正对象的工作、生活情况及时帮助解决存在的实际问题。</w:t>
      </w:r>
    </w:p>
    <w:p>
      <w:pPr>
        <w:pStyle w:val="6"/>
        <w:widowControl/>
        <w:spacing w:before="0" w:beforeAutospacing="0" w:after="0" w:afterAutospacing="0"/>
        <w:ind w:left="420"/>
        <w:rPr>
          <w:rFonts w:ascii="仿宋" w:hAnsi="仿宋" w:eastAsia="仿宋"/>
          <w:sz w:val="30"/>
          <w:szCs w:val="30"/>
        </w:rPr>
      </w:pPr>
      <w:r>
        <w:rPr>
          <w:rFonts w:hint="eastAsia" w:ascii="仿宋" w:hAnsi="仿宋" w:eastAsia="仿宋"/>
          <w:sz w:val="30"/>
          <w:szCs w:val="30"/>
        </w:rPr>
        <w:t>3.绩效自评结果拟应用和公开情况</w:t>
      </w:r>
    </w:p>
    <w:p>
      <w:pPr>
        <w:pStyle w:val="6"/>
        <w:widowControl/>
        <w:spacing w:before="0" w:beforeAutospacing="0" w:after="0" w:afterAutospacing="0"/>
        <w:ind w:firstLine="420"/>
        <w:rPr>
          <w:rFonts w:ascii="仿宋" w:hAnsi="仿宋" w:eastAsia="仿宋"/>
          <w:sz w:val="30"/>
          <w:szCs w:val="30"/>
        </w:rPr>
      </w:pPr>
      <w:r>
        <w:rPr>
          <w:rFonts w:hint="eastAsia" w:ascii="仿宋" w:hAnsi="仿宋" w:eastAsia="仿宋"/>
          <w:sz w:val="30"/>
          <w:szCs w:val="30"/>
        </w:rPr>
        <w:t>主动向社会公开行政职责、办事程序、执法依据、监督方式等信息，促使各项执法工作在阳光下进行，接受社会监督。严格执行许可法规定的程序和期限，做到尽量简化程序和压缩审批时间。</w:t>
      </w:r>
    </w:p>
    <w:p>
      <w:pPr>
        <w:pStyle w:val="6"/>
        <w:widowControl/>
        <w:spacing w:before="0" w:beforeAutospacing="0" w:after="0" w:afterAutospacing="0"/>
        <w:ind w:firstLine="420"/>
        <w:rPr>
          <w:rFonts w:ascii="仿宋" w:hAnsi="仿宋" w:eastAsia="仿宋"/>
          <w:sz w:val="30"/>
          <w:szCs w:val="30"/>
        </w:rPr>
      </w:pPr>
      <w:r>
        <w:rPr>
          <w:rFonts w:hint="eastAsia" w:ascii="仿宋" w:hAnsi="仿宋" w:eastAsia="仿宋"/>
          <w:sz w:val="30"/>
          <w:szCs w:val="30"/>
        </w:rPr>
        <w:t>四、存在的主要问题</w:t>
      </w:r>
    </w:p>
    <w:p>
      <w:pPr>
        <w:pStyle w:val="6"/>
        <w:widowControl/>
        <w:shd w:val="clear" w:color="auto" w:fill="FFFFFF"/>
        <w:spacing w:beforeAutospacing="0" w:afterAutospacing="0" w:line="560" w:lineRule="atLeast"/>
        <w:ind w:firstLine="640"/>
        <w:jc w:val="both"/>
        <w:rPr>
          <w:rFonts w:ascii="仿宋" w:hAnsi="仿宋" w:eastAsia="仿宋"/>
          <w:sz w:val="30"/>
          <w:szCs w:val="30"/>
        </w:rPr>
      </w:pPr>
      <w:r>
        <w:rPr>
          <w:rFonts w:hint="eastAsia" w:ascii="仿宋" w:hAnsi="仿宋" w:eastAsia="仿宋"/>
          <w:sz w:val="30"/>
          <w:szCs w:val="30"/>
        </w:rPr>
        <w:t>1. 预算编制工作有待细化。预算编制不够明确和细化，预算编制的合理性需要提高，预算执行力度还要进一步加强。</w:t>
      </w:r>
    </w:p>
    <w:p>
      <w:pPr>
        <w:pStyle w:val="6"/>
        <w:widowControl/>
        <w:shd w:val="clear" w:color="auto" w:fill="FFFFFF"/>
        <w:spacing w:beforeAutospacing="0" w:afterAutospacing="0" w:line="560" w:lineRule="atLeast"/>
        <w:ind w:firstLine="640"/>
        <w:jc w:val="both"/>
        <w:rPr>
          <w:rFonts w:ascii="仿宋" w:hAnsi="仿宋" w:eastAsia="仿宋"/>
          <w:sz w:val="30"/>
          <w:szCs w:val="30"/>
        </w:rPr>
      </w:pPr>
      <w:r>
        <w:rPr>
          <w:rFonts w:hint="eastAsia" w:ascii="仿宋" w:hAnsi="仿宋" w:eastAsia="仿宋"/>
          <w:sz w:val="30"/>
          <w:szCs w:val="30"/>
        </w:rPr>
        <w:t>2、我单位本着厉行节约，保运转的前提下，一般公用支出基本是刚性支出，很难再压减，因此在公用经费控制上有一定难度，财务约束监督体制仍需强化。</w:t>
      </w:r>
    </w:p>
    <w:p>
      <w:pPr>
        <w:ind w:firstLine="600" w:firstLineChars="200"/>
        <w:rPr>
          <w:rFonts w:ascii="仿宋" w:hAnsi="仿宋" w:eastAsia="仿宋"/>
          <w:kern w:val="0"/>
          <w:sz w:val="30"/>
          <w:szCs w:val="30"/>
        </w:rPr>
      </w:pPr>
      <w:r>
        <w:rPr>
          <w:rFonts w:hint="eastAsia" w:ascii="仿宋" w:hAnsi="仿宋" w:eastAsia="仿宋"/>
          <w:kern w:val="0"/>
          <w:sz w:val="30"/>
          <w:szCs w:val="30"/>
        </w:rPr>
        <w:t>五、</w:t>
      </w:r>
      <w:r>
        <w:rPr>
          <w:rFonts w:hint="eastAsia" w:ascii="仿宋" w:hAnsi="仿宋" w:eastAsia="仿宋"/>
          <w:kern w:val="0"/>
          <w:sz w:val="30"/>
          <w:szCs w:val="30"/>
        </w:rPr>
        <w:tab/>
      </w:r>
      <w:r>
        <w:rPr>
          <w:rFonts w:hint="eastAsia" w:ascii="仿宋" w:hAnsi="仿宋" w:eastAsia="仿宋"/>
          <w:kern w:val="0"/>
          <w:sz w:val="30"/>
          <w:szCs w:val="30"/>
        </w:rPr>
        <w:t>绩效自评结果拟应用和公开情况</w:t>
      </w:r>
    </w:p>
    <w:p>
      <w:pPr>
        <w:ind w:firstLine="600" w:firstLineChars="200"/>
        <w:rPr>
          <w:rFonts w:ascii="仿宋" w:hAnsi="仿宋" w:eastAsia="仿宋"/>
          <w:kern w:val="0"/>
          <w:sz w:val="30"/>
          <w:szCs w:val="30"/>
        </w:rPr>
      </w:pPr>
      <w:r>
        <w:rPr>
          <w:rFonts w:hint="eastAsia" w:ascii="仿宋" w:hAnsi="仿宋" w:eastAsia="仿宋"/>
          <w:kern w:val="0"/>
          <w:sz w:val="30"/>
          <w:szCs w:val="30"/>
        </w:rPr>
        <w:t>我单位将自评结果在德兴市司法局公开栏进行公开公示。</w:t>
      </w:r>
    </w:p>
    <w:p>
      <w:pPr>
        <w:ind w:firstLine="600" w:firstLineChars="200"/>
        <w:rPr>
          <w:rFonts w:ascii="仿宋" w:hAnsi="仿宋" w:eastAsia="仿宋"/>
          <w:kern w:val="0"/>
          <w:sz w:val="30"/>
          <w:szCs w:val="30"/>
        </w:rPr>
      </w:pPr>
      <w:r>
        <w:rPr>
          <w:rFonts w:hint="eastAsia" w:ascii="仿宋" w:hAnsi="仿宋" w:eastAsia="仿宋"/>
          <w:kern w:val="0"/>
          <w:sz w:val="30"/>
          <w:szCs w:val="30"/>
        </w:rPr>
        <w:t>六、其他需要说明的问题</w:t>
      </w:r>
    </w:p>
    <w:p>
      <w:pPr>
        <w:autoSpaceDE w:val="0"/>
        <w:autoSpaceDN w:val="0"/>
        <w:adjustRightInd w:val="0"/>
        <w:spacing w:line="360" w:lineRule="auto"/>
        <w:jc w:val="left"/>
        <w:rPr>
          <w:rFonts w:hint="eastAsia" w:ascii="仿宋" w:hAnsi="仿宋" w:eastAsia="仿宋" w:cs="仿宋_GB2312"/>
          <w:kern w:val="0"/>
          <w:sz w:val="30"/>
          <w:szCs w:val="30"/>
        </w:rPr>
      </w:pPr>
    </w:p>
    <w:p>
      <w:pPr>
        <w:widowControl/>
        <w:spacing w:line="600" w:lineRule="exact"/>
        <w:ind w:firstLine="640"/>
        <w:jc w:val="center"/>
        <w:rPr>
          <w:rFonts w:hint="eastAsia" w:ascii="宋体" w:hAnsi="宋体"/>
          <w:b/>
          <w:sz w:val="32"/>
          <w:szCs w:val="32"/>
        </w:rPr>
      </w:pPr>
      <w:r>
        <w:rPr>
          <w:rFonts w:hint="eastAsia" w:ascii="宋体" w:hAnsi="宋体"/>
          <w:b/>
          <w:sz w:val="32"/>
          <w:szCs w:val="32"/>
        </w:rPr>
        <w:t>第四部分  名词解释</w:t>
      </w:r>
    </w:p>
    <w:p>
      <w:pPr>
        <w:pStyle w:val="12"/>
        <w:spacing w:line="600" w:lineRule="atLeast"/>
        <w:ind w:firstLine="600"/>
        <w:rPr>
          <w:rFonts w:hint="eastAsia" w:ascii="仿宋" w:hAnsi="仿宋" w:eastAsia="仿宋"/>
          <w:sz w:val="30"/>
          <w:szCs w:val="30"/>
        </w:rPr>
      </w:pPr>
    </w:p>
    <w:p>
      <w:pPr>
        <w:widowControl/>
        <w:jc w:val="left"/>
      </w:pPr>
      <w:r>
        <w:rPr>
          <w:rFonts w:hint="eastAsia" w:ascii="仿宋" w:hAnsi="仿宋" w:eastAsia="仿宋"/>
          <w:kern w:val="0"/>
          <w:sz w:val="30"/>
          <w:szCs w:val="30"/>
        </w:rPr>
        <w:t xml:space="preserve">    </w:t>
      </w:r>
      <w:r>
        <w:rPr>
          <w:rFonts w:ascii="仿宋_GB2312" w:hAnsi="仿宋_GB2312" w:eastAsia="仿宋_GB2312" w:cs="仿宋_GB2312"/>
          <w:color w:val="000000"/>
          <w:kern w:val="0"/>
          <w:sz w:val="31"/>
          <w:szCs w:val="31"/>
          <w:lang w:bidi="ar"/>
        </w:rPr>
        <w:t xml:space="preserve">一、收入科目 </w:t>
      </w:r>
    </w:p>
    <w:p>
      <w:pPr>
        <w:widowControl/>
        <w:jc w:val="left"/>
      </w:pPr>
      <w:r>
        <w:rPr>
          <w:rFonts w:ascii="仿宋_GB2312" w:hAnsi="仿宋_GB2312" w:eastAsia="仿宋_GB2312" w:cs="仿宋_GB2312"/>
          <w:color w:val="000000"/>
          <w:kern w:val="0"/>
          <w:sz w:val="31"/>
          <w:szCs w:val="31"/>
          <w:lang w:bidi="ar"/>
        </w:rPr>
        <w:t xml:space="preserve">（一）财政拨款：指省级财政当年拨付的资金。 </w:t>
      </w:r>
    </w:p>
    <w:p>
      <w:pPr>
        <w:widowControl/>
        <w:jc w:val="left"/>
      </w:pPr>
      <w:r>
        <w:rPr>
          <w:rFonts w:ascii="仿宋_GB2312" w:hAnsi="仿宋_GB2312" w:eastAsia="仿宋_GB2312" w:cs="仿宋_GB2312"/>
          <w:color w:val="000000"/>
          <w:kern w:val="0"/>
          <w:sz w:val="31"/>
          <w:szCs w:val="31"/>
          <w:lang w:bidi="ar"/>
        </w:rPr>
        <w:t xml:space="preserve">（二）事业收入：指事业单位开展专业业务活动及辅助 </w:t>
      </w:r>
    </w:p>
    <w:p>
      <w:pPr>
        <w:widowControl/>
        <w:jc w:val="left"/>
      </w:pPr>
      <w:r>
        <w:rPr>
          <w:rFonts w:ascii="仿宋_GB2312" w:hAnsi="仿宋_GB2312" w:eastAsia="仿宋_GB2312" w:cs="仿宋_GB2312"/>
          <w:color w:val="000000"/>
          <w:kern w:val="0"/>
          <w:sz w:val="31"/>
          <w:szCs w:val="31"/>
          <w:lang w:bidi="ar"/>
        </w:rPr>
        <w:t xml:space="preserve">活动取得的收入。 </w:t>
      </w:r>
    </w:p>
    <w:p>
      <w:pPr>
        <w:widowControl/>
        <w:jc w:val="left"/>
      </w:pPr>
      <w:r>
        <w:rPr>
          <w:rFonts w:ascii="仿宋_GB2312" w:hAnsi="仿宋_GB2312" w:eastAsia="仿宋_GB2312" w:cs="仿宋_GB2312"/>
          <w:color w:val="000000"/>
          <w:kern w:val="0"/>
          <w:sz w:val="31"/>
          <w:szCs w:val="31"/>
          <w:lang w:bidi="ar"/>
        </w:rPr>
        <w:t xml:space="preserve">（三）事业单位经营收入：指事业单位在专业业务活动 </w:t>
      </w:r>
    </w:p>
    <w:p>
      <w:pPr>
        <w:widowControl/>
        <w:jc w:val="left"/>
      </w:pPr>
      <w:r>
        <w:rPr>
          <w:rFonts w:ascii="仿宋_GB2312" w:hAnsi="仿宋_GB2312" w:eastAsia="仿宋_GB2312" w:cs="仿宋_GB2312"/>
          <w:color w:val="000000"/>
          <w:kern w:val="0"/>
          <w:sz w:val="31"/>
          <w:szCs w:val="31"/>
          <w:lang w:bidi="ar"/>
        </w:rPr>
        <w:t xml:space="preserve">及辅助活动之外开展非独立核算经营活动取得的收入。 </w:t>
      </w:r>
    </w:p>
    <w:p>
      <w:pPr>
        <w:widowControl/>
        <w:jc w:val="left"/>
      </w:pPr>
      <w:r>
        <w:rPr>
          <w:rFonts w:ascii="仿宋_GB2312" w:hAnsi="仿宋_GB2312" w:eastAsia="仿宋_GB2312" w:cs="仿宋_GB2312"/>
          <w:color w:val="000000"/>
          <w:kern w:val="0"/>
          <w:sz w:val="31"/>
          <w:szCs w:val="31"/>
          <w:lang w:bidi="ar"/>
        </w:rPr>
        <w:t xml:space="preserve">（四）其他收入：指除财政拨款、事业收入、事业单位 </w:t>
      </w:r>
    </w:p>
    <w:p>
      <w:pPr>
        <w:widowControl/>
        <w:jc w:val="left"/>
      </w:pPr>
      <w:r>
        <w:rPr>
          <w:rFonts w:ascii="仿宋_GB2312" w:hAnsi="仿宋_GB2312" w:eastAsia="仿宋_GB2312" w:cs="仿宋_GB2312"/>
          <w:color w:val="000000"/>
          <w:kern w:val="0"/>
          <w:sz w:val="31"/>
          <w:szCs w:val="31"/>
          <w:lang w:bidi="ar"/>
        </w:rPr>
        <w:t xml:space="preserve">经营收入等以外的各项收入。 </w:t>
      </w:r>
    </w:p>
    <w:p>
      <w:pPr>
        <w:widowControl/>
        <w:jc w:val="left"/>
      </w:pPr>
      <w:r>
        <w:rPr>
          <w:rFonts w:ascii="仿宋_GB2312" w:hAnsi="仿宋_GB2312" w:eastAsia="仿宋_GB2312" w:cs="仿宋_GB2312"/>
          <w:color w:val="000000"/>
          <w:kern w:val="0"/>
          <w:sz w:val="31"/>
          <w:szCs w:val="31"/>
          <w:lang w:bidi="ar"/>
        </w:rPr>
        <w:t xml:space="preserve">（五）附属单位上缴收入：反映事业单位附属的独立核 </w:t>
      </w:r>
    </w:p>
    <w:p>
      <w:pPr>
        <w:widowControl/>
        <w:jc w:val="left"/>
      </w:pPr>
      <w:r>
        <w:rPr>
          <w:rFonts w:ascii="仿宋_GB2312" w:hAnsi="仿宋_GB2312" w:eastAsia="仿宋_GB2312" w:cs="仿宋_GB2312"/>
          <w:color w:val="000000"/>
          <w:kern w:val="0"/>
          <w:sz w:val="31"/>
          <w:szCs w:val="31"/>
          <w:lang w:bidi="ar"/>
        </w:rPr>
        <w:t xml:space="preserve">算单位按规定标准或比例缴纳的各项收入。包括附属的事业 </w:t>
      </w:r>
    </w:p>
    <w:p>
      <w:pPr>
        <w:widowControl/>
        <w:jc w:val="left"/>
      </w:pPr>
      <w:r>
        <w:rPr>
          <w:rFonts w:ascii="仿宋_GB2312" w:hAnsi="仿宋_GB2312" w:eastAsia="仿宋_GB2312" w:cs="仿宋_GB2312"/>
          <w:color w:val="000000"/>
          <w:kern w:val="0"/>
          <w:sz w:val="31"/>
          <w:szCs w:val="31"/>
          <w:lang w:bidi="ar"/>
        </w:rPr>
        <w:t xml:space="preserve">单位上缴的收入和附属的企业上缴的利润等。 </w:t>
      </w:r>
    </w:p>
    <w:p>
      <w:pPr>
        <w:widowControl/>
        <w:jc w:val="left"/>
      </w:pPr>
      <w:r>
        <w:rPr>
          <w:rFonts w:ascii="仿宋_GB2312" w:hAnsi="仿宋_GB2312" w:eastAsia="仿宋_GB2312" w:cs="仿宋_GB2312"/>
          <w:color w:val="000000"/>
          <w:kern w:val="0"/>
          <w:sz w:val="31"/>
          <w:szCs w:val="31"/>
          <w:lang w:bidi="ar"/>
        </w:rPr>
        <w:t xml:space="preserve">（六）上级补助收入：反映事业单位从主管部门和上级 </w:t>
      </w:r>
    </w:p>
    <w:p>
      <w:pPr>
        <w:widowControl/>
        <w:jc w:val="left"/>
        <w:rPr>
          <w:rFonts w:ascii="仿宋_GB2312" w:hAnsi="仿宋_GB2312" w:eastAsia="仿宋_GB2312" w:cs="仿宋_GB2312"/>
          <w:color w:val="000000"/>
          <w:kern w:val="0"/>
          <w:sz w:val="31"/>
          <w:szCs w:val="31"/>
          <w:lang w:bidi="ar"/>
        </w:rPr>
      </w:pPr>
      <w:r>
        <w:rPr>
          <w:rFonts w:ascii="仿宋_GB2312" w:hAnsi="仿宋_GB2312" w:eastAsia="仿宋_GB2312" w:cs="仿宋_GB2312"/>
          <w:color w:val="000000"/>
          <w:kern w:val="0"/>
          <w:sz w:val="31"/>
          <w:szCs w:val="31"/>
          <w:lang w:bidi="ar"/>
        </w:rPr>
        <w:t>单位取得的非财政补助收入。</w:t>
      </w:r>
    </w:p>
    <w:p>
      <w:pPr>
        <w:widowControl/>
        <w:jc w:val="left"/>
      </w:pPr>
      <w:r>
        <w:rPr>
          <w:rFonts w:ascii="仿宋_GB2312" w:hAnsi="仿宋_GB2312" w:eastAsia="仿宋_GB2312" w:cs="仿宋_GB2312"/>
          <w:color w:val="000000"/>
          <w:kern w:val="0"/>
          <w:sz w:val="31"/>
          <w:szCs w:val="31"/>
          <w:lang w:bidi="ar"/>
        </w:rPr>
        <w:t xml:space="preserve">（七）用事业基金弥补收支差额：填列事业单位用事业 </w:t>
      </w:r>
    </w:p>
    <w:p>
      <w:pPr>
        <w:widowControl/>
        <w:jc w:val="left"/>
      </w:pPr>
      <w:r>
        <w:rPr>
          <w:rFonts w:ascii="仿宋_GB2312" w:hAnsi="仿宋_GB2312" w:eastAsia="仿宋_GB2312" w:cs="仿宋_GB2312"/>
          <w:color w:val="000000"/>
          <w:kern w:val="0"/>
          <w:sz w:val="31"/>
          <w:szCs w:val="31"/>
          <w:lang w:bidi="ar"/>
        </w:rPr>
        <w:t xml:space="preserve">基金弥补 2020 年收支差额的数额。 </w:t>
      </w:r>
    </w:p>
    <w:p>
      <w:pPr>
        <w:widowControl/>
        <w:jc w:val="left"/>
      </w:pPr>
      <w:r>
        <w:rPr>
          <w:rFonts w:ascii="仿宋_GB2312" w:hAnsi="仿宋_GB2312" w:eastAsia="仿宋_GB2312" w:cs="仿宋_GB2312"/>
          <w:color w:val="000000"/>
          <w:kern w:val="0"/>
          <w:sz w:val="31"/>
          <w:szCs w:val="31"/>
          <w:lang w:bidi="ar"/>
        </w:rPr>
        <w:t>（八）上年结转和结余：填列 20</w:t>
      </w:r>
      <w:r>
        <w:rPr>
          <w:rFonts w:hint="eastAsia" w:ascii="仿宋_GB2312" w:hAnsi="仿宋_GB2312" w:eastAsia="仿宋_GB2312" w:cs="仿宋_GB2312"/>
          <w:color w:val="000000"/>
          <w:kern w:val="0"/>
          <w:sz w:val="31"/>
          <w:szCs w:val="31"/>
          <w:lang w:bidi="ar"/>
        </w:rPr>
        <w:t>19</w:t>
      </w:r>
      <w:r>
        <w:rPr>
          <w:rFonts w:ascii="仿宋_GB2312" w:hAnsi="仿宋_GB2312" w:eastAsia="仿宋_GB2312" w:cs="仿宋_GB2312"/>
          <w:color w:val="000000"/>
          <w:kern w:val="0"/>
          <w:sz w:val="31"/>
          <w:szCs w:val="31"/>
          <w:lang w:bidi="ar"/>
        </w:rPr>
        <w:t xml:space="preserve"> 年全部结转和结余 </w:t>
      </w:r>
    </w:p>
    <w:p>
      <w:pPr>
        <w:widowControl/>
        <w:jc w:val="left"/>
      </w:pPr>
      <w:r>
        <w:rPr>
          <w:rFonts w:ascii="仿宋_GB2312" w:hAnsi="仿宋_GB2312" w:eastAsia="仿宋_GB2312" w:cs="仿宋_GB2312"/>
          <w:color w:val="000000"/>
          <w:kern w:val="0"/>
          <w:sz w:val="31"/>
          <w:szCs w:val="31"/>
          <w:lang w:bidi="ar"/>
        </w:rPr>
        <w:t xml:space="preserve">的资金数，包括当年结转结余资金和历年滚存结转结余资 </w:t>
      </w:r>
    </w:p>
    <w:p>
      <w:pPr>
        <w:widowControl/>
        <w:jc w:val="left"/>
      </w:pPr>
      <w:r>
        <w:rPr>
          <w:rFonts w:ascii="仿宋_GB2312" w:hAnsi="仿宋_GB2312" w:eastAsia="仿宋_GB2312" w:cs="仿宋_GB2312"/>
          <w:color w:val="000000"/>
          <w:kern w:val="0"/>
          <w:sz w:val="31"/>
          <w:szCs w:val="31"/>
          <w:lang w:bidi="ar"/>
        </w:rPr>
        <w:t xml:space="preserve">金。 </w:t>
      </w:r>
    </w:p>
    <w:p>
      <w:pPr>
        <w:widowControl/>
        <w:jc w:val="left"/>
      </w:pPr>
      <w:r>
        <w:rPr>
          <w:rFonts w:ascii="仿宋_GB2312" w:hAnsi="仿宋_GB2312" w:eastAsia="仿宋_GB2312" w:cs="仿宋_GB2312"/>
          <w:color w:val="000000"/>
          <w:kern w:val="0"/>
          <w:sz w:val="31"/>
          <w:szCs w:val="31"/>
          <w:lang w:bidi="ar"/>
        </w:rPr>
        <w:t xml:space="preserve">二、支出科目 </w:t>
      </w:r>
    </w:p>
    <w:p>
      <w:pPr>
        <w:widowControl/>
        <w:jc w:val="left"/>
      </w:pPr>
      <w:r>
        <w:rPr>
          <w:rFonts w:ascii="仿宋_GB2312" w:hAnsi="仿宋_GB2312" w:eastAsia="仿宋_GB2312" w:cs="仿宋_GB2312"/>
          <w:color w:val="000000"/>
          <w:kern w:val="0"/>
          <w:sz w:val="31"/>
          <w:szCs w:val="31"/>
          <w:lang w:bidi="ar"/>
        </w:rPr>
        <w:t xml:space="preserve">（一）行政运行：反映行政单位（包括参公单位）的基 </w:t>
      </w:r>
    </w:p>
    <w:p>
      <w:pPr>
        <w:widowControl/>
        <w:jc w:val="left"/>
      </w:pPr>
      <w:r>
        <w:rPr>
          <w:rFonts w:ascii="仿宋_GB2312" w:hAnsi="仿宋_GB2312" w:eastAsia="仿宋_GB2312" w:cs="仿宋_GB2312"/>
          <w:color w:val="000000"/>
          <w:kern w:val="0"/>
          <w:sz w:val="31"/>
          <w:szCs w:val="31"/>
          <w:lang w:bidi="ar"/>
        </w:rPr>
        <w:t>本支出。</w:t>
      </w:r>
    </w:p>
    <w:p>
      <w:pPr>
        <w:widowControl/>
        <w:jc w:val="left"/>
      </w:pPr>
      <w:r>
        <w:rPr>
          <w:rFonts w:ascii="仿宋_GB2312" w:hAnsi="仿宋_GB2312" w:eastAsia="仿宋_GB2312" w:cs="仿宋_GB2312"/>
          <w:color w:val="000000"/>
          <w:kern w:val="0"/>
          <w:sz w:val="31"/>
          <w:szCs w:val="31"/>
          <w:lang w:bidi="ar"/>
        </w:rPr>
        <w:t xml:space="preserve">（二）一般行政管理事务：反映行政单位（包括参公单 </w:t>
      </w:r>
    </w:p>
    <w:p>
      <w:pPr>
        <w:widowControl/>
        <w:jc w:val="left"/>
      </w:pPr>
      <w:r>
        <w:rPr>
          <w:rFonts w:ascii="仿宋_GB2312" w:hAnsi="仿宋_GB2312" w:eastAsia="仿宋_GB2312" w:cs="仿宋_GB2312"/>
          <w:color w:val="000000"/>
          <w:kern w:val="0"/>
          <w:sz w:val="31"/>
          <w:szCs w:val="31"/>
          <w:lang w:bidi="ar"/>
        </w:rPr>
        <w:t xml:space="preserve">位）未单独设置项级科目的其他项目支出。 </w:t>
      </w:r>
    </w:p>
    <w:p>
      <w:pPr>
        <w:widowControl/>
        <w:jc w:val="left"/>
      </w:pPr>
      <w:r>
        <w:rPr>
          <w:rFonts w:ascii="仿宋_GB2312" w:hAnsi="仿宋_GB2312" w:eastAsia="仿宋_GB2312" w:cs="仿宋_GB2312"/>
          <w:color w:val="000000"/>
          <w:kern w:val="0"/>
          <w:sz w:val="31"/>
          <w:szCs w:val="31"/>
          <w:lang w:bidi="ar"/>
        </w:rPr>
        <w:t xml:space="preserve">（三）机关服务：反映为行政单位（包括参公单位）提 </w:t>
      </w:r>
    </w:p>
    <w:p>
      <w:pPr>
        <w:widowControl/>
        <w:jc w:val="left"/>
      </w:pPr>
      <w:r>
        <w:rPr>
          <w:rFonts w:ascii="仿宋_GB2312" w:hAnsi="仿宋_GB2312" w:eastAsia="仿宋_GB2312" w:cs="仿宋_GB2312"/>
          <w:color w:val="000000"/>
          <w:kern w:val="0"/>
          <w:sz w:val="31"/>
          <w:szCs w:val="31"/>
          <w:lang w:bidi="ar"/>
        </w:rPr>
        <w:t xml:space="preserve">供后勤服务的各类后勤服务中心的支出。 </w:t>
      </w:r>
    </w:p>
    <w:p>
      <w:pPr>
        <w:widowControl/>
        <w:jc w:val="left"/>
      </w:pPr>
      <w:r>
        <w:rPr>
          <w:rFonts w:ascii="仿宋_GB2312" w:hAnsi="仿宋_GB2312" w:eastAsia="仿宋_GB2312" w:cs="仿宋_GB2312"/>
          <w:color w:val="000000"/>
          <w:kern w:val="0"/>
          <w:sz w:val="31"/>
          <w:szCs w:val="31"/>
          <w:lang w:bidi="ar"/>
        </w:rPr>
        <w:t xml:space="preserve"> </w:t>
      </w:r>
    </w:p>
    <w:p>
      <w:pPr>
        <w:widowControl/>
        <w:jc w:val="left"/>
      </w:pPr>
      <w:r>
        <w:rPr>
          <w:rFonts w:ascii="仿宋_GB2312" w:hAnsi="仿宋_GB2312" w:eastAsia="仿宋_GB2312" w:cs="仿宋_GB2312"/>
          <w:color w:val="000000"/>
          <w:kern w:val="0"/>
          <w:sz w:val="31"/>
          <w:szCs w:val="31"/>
          <w:lang w:bidi="ar"/>
        </w:rPr>
        <w:t>（</w:t>
      </w:r>
      <w:r>
        <w:rPr>
          <w:rFonts w:hint="eastAsia" w:ascii="仿宋_GB2312" w:hAnsi="仿宋_GB2312" w:eastAsia="仿宋_GB2312" w:cs="仿宋_GB2312"/>
          <w:color w:val="000000"/>
          <w:kern w:val="0"/>
          <w:sz w:val="31"/>
          <w:szCs w:val="31"/>
          <w:lang w:bidi="ar"/>
        </w:rPr>
        <w:t>四</w:t>
      </w:r>
      <w:r>
        <w:rPr>
          <w:rFonts w:ascii="仿宋_GB2312" w:hAnsi="仿宋_GB2312" w:eastAsia="仿宋_GB2312" w:cs="仿宋_GB2312"/>
          <w:color w:val="000000"/>
          <w:kern w:val="0"/>
          <w:sz w:val="31"/>
          <w:szCs w:val="31"/>
          <w:lang w:bidi="ar"/>
        </w:rPr>
        <w:t xml:space="preserve">）机关事业单位基本养老保险缴费支出：反映机 </w:t>
      </w:r>
    </w:p>
    <w:p>
      <w:pPr>
        <w:widowControl/>
        <w:jc w:val="left"/>
      </w:pPr>
      <w:r>
        <w:rPr>
          <w:rFonts w:ascii="仿宋_GB2312" w:hAnsi="仿宋_GB2312" w:eastAsia="仿宋_GB2312" w:cs="仿宋_GB2312"/>
          <w:color w:val="000000"/>
          <w:kern w:val="0"/>
          <w:sz w:val="31"/>
          <w:szCs w:val="31"/>
          <w:lang w:bidi="ar"/>
        </w:rPr>
        <w:t xml:space="preserve">关事业单位实施养老保险制度由单位缴纳的基本养老保险 </w:t>
      </w:r>
    </w:p>
    <w:p>
      <w:pPr>
        <w:widowControl/>
        <w:jc w:val="left"/>
      </w:pPr>
      <w:r>
        <w:rPr>
          <w:rFonts w:ascii="仿宋_GB2312" w:hAnsi="仿宋_GB2312" w:eastAsia="仿宋_GB2312" w:cs="仿宋_GB2312"/>
          <w:color w:val="000000"/>
          <w:kern w:val="0"/>
          <w:sz w:val="31"/>
          <w:szCs w:val="31"/>
          <w:lang w:bidi="ar"/>
        </w:rPr>
        <w:t xml:space="preserve">费的支出。 </w:t>
      </w:r>
    </w:p>
    <w:p>
      <w:pPr>
        <w:widowControl/>
        <w:jc w:val="left"/>
      </w:pPr>
      <w:r>
        <w:rPr>
          <w:rFonts w:ascii="仿宋_GB2312" w:hAnsi="仿宋_GB2312" w:eastAsia="仿宋_GB2312" w:cs="仿宋_GB2312"/>
          <w:color w:val="000000"/>
          <w:kern w:val="0"/>
          <w:sz w:val="31"/>
          <w:szCs w:val="31"/>
          <w:lang w:bidi="ar"/>
        </w:rPr>
        <w:t>（</w:t>
      </w:r>
      <w:r>
        <w:rPr>
          <w:rFonts w:hint="eastAsia" w:ascii="仿宋_GB2312" w:hAnsi="仿宋_GB2312" w:eastAsia="仿宋_GB2312" w:cs="仿宋_GB2312"/>
          <w:color w:val="000000"/>
          <w:kern w:val="0"/>
          <w:sz w:val="31"/>
          <w:szCs w:val="31"/>
          <w:lang w:bidi="ar"/>
        </w:rPr>
        <w:t>五</w:t>
      </w:r>
      <w:r>
        <w:rPr>
          <w:rFonts w:ascii="仿宋_GB2312" w:hAnsi="仿宋_GB2312" w:eastAsia="仿宋_GB2312" w:cs="仿宋_GB2312"/>
          <w:color w:val="000000"/>
          <w:kern w:val="0"/>
          <w:sz w:val="31"/>
          <w:szCs w:val="31"/>
          <w:lang w:bidi="ar"/>
        </w:rPr>
        <w:t xml:space="preserve">）“三公”经费支出：政府部门人员因公出国经 </w:t>
      </w:r>
    </w:p>
    <w:p>
      <w:pPr>
        <w:widowControl/>
        <w:jc w:val="left"/>
      </w:pPr>
      <w:r>
        <w:rPr>
          <w:rFonts w:ascii="仿宋_GB2312" w:hAnsi="仿宋_GB2312" w:eastAsia="仿宋_GB2312" w:cs="仿宋_GB2312"/>
          <w:color w:val="000000"/>
          <w:kern w:val="0"/>
          <w:sz w:val="31"/>
          <w:szCs w:val="31"/>
          <w:lang w:bidi="ar"/>
        </w:rPr>
        <w:t xml:space="preserve">费、公务车辆购置及运行费、公务招待费产生的消费。 </w:t>
      </w:r>
    </w:p>
    <w:p>
      <w:pPr>
        <w:widowControl/>
        <w:jc w:val="left"/>
      </w:pPr>
      <w:r>
        <w:rPr>
          <w:rFonts w:ascii="仿宋_GB2312" w:hAnsi="仿宋_GB2312" w:eastAsia="仿宋_GB2312" w:cs="仿宋_GB2312"/>
          <w:color w:val="000000"/>
          <w:kern w:val="0"/>
          <w:sz w:val="31"/>
          <w:szCs w:val="31"/>
          <w:lang w:bidi="ar"/>
        </w:rPr>
        <w:t>（</w:t>
      </w:r>
      <w:r>
        <w:rPr>
          <w:rFonts w:hint="eastAsia" w:ascii="仿宋_GB2312" w:hAnsi="仿宋_GB2312" w:eastAsia="仿宋_GB2312" w:cs="仿宋_GB2312"/>
          <w:color w:val="000000"/>
          <w:kern w:val="0"/>
          <w:sz w:val="31"/>
          <w:szCs w:val="31"/>
          <w:lang w:bidi="ar"/>
        </w:rPr>
        <w:t>六</w:t>
      </w:r>
      <w:r>
        <w:rPr>
          <w:rFonts w:ascii="仿宋_GB2312" w:hAnsi="仿宋_GB2312" w:eastAsia="仿宋_GB2312" w:cs="仿宋_GB2312"/>
          <w:color w:val="000000"/>
          <w:kern w:val="0"/>
          <w:sz w:val="31"/>
          <w:szCs w:val="31"/>
          <w:lang w:bidi="ar"/>
        </w:rPr>
        <w:t xml:space="preserve">）机关运行经费：保障单位运行用于购买货物和 </w:t>
      </w:r>
    </w:p>
    <w:p>
      <w:pPr>
        <w:widowControl/>
        <w:jc w:val="left"/>
        <w:rPr>
          <w:rFonts w:ascii="仿宋" w:hAnsi="仿宋" w:eastAsia="仿宋"/>
          <w:sz w:val="30"/>
          <w:szCs w:val="30"/>
        </w:rPr>
      </w:pPr>
      <w:r>
        <w:rPr>
          <w:rFonts w:ascii="仿宋_GB2312" w:hAnsi="仿宋_GB2312" w:eastAsia="仿宋_GB2312" w:cs="仿宋_GB2312"/>
          <w:color w:val="000000"/>
          <w:kern w:val="0"/>
          <w:sz w:val="31"/>
          <w:szCs w:val="31"/>
          <w:lang w:bidi="ar"/>
        </w:rPr>
        <w:t>服务的各项资金</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F1AB64"/>
    <w:multiLevelType w:val="singleLevel"/>
    <w:tmpl w:val="CEF1AB64"/>
    <w:lvl w:ilvl="0" w:tentative="0">
      <w:start w:val="8"/>
      <w:numFmt w:val="chineseCounting"/>
      <w:suff w:val="nothing"/>
      <w:lvlText w:val="%1、"/>
      <w:lvlJc w:val="left"/>
      <w:pPr>
        <w:ind w:left="1280" w:firstLine="0"/>
      </w:pPr>
      <w:rPr>
        <w:rFonts w:hint="eastAsia"/>
      </w:rPr>
    </w:lvl>
  </w:abstractNum>
  <w:abstractNum w:abstractNumId="1">
    <w:nsid w:val="5E93C7F3"/>
    <w:multiLevelType w:val="singleLevel"/>
    <w:tmpl w:val="5E93C7F3"/>
    <w:lvl w:ilvl="0" w:tentative="0">
      <w:start w:val="1"/>
      <w:numFmt w:val="chineseCounting"/>
      <w:suff w:val="nothing"/>
      <w:lvlText w:val="%1、"/>
      <w:lvlJc w:val="left"/>
    </w:lvl>
  </w:abstractNum>
  <w:abstractNum w:abstractNumId="2">
    <w:nsid w:val="5E93CF06"/>
    <w:multiLevelType w:val="singleLevel"/>
    <w:tmpl w:val="5E93CF06"/>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jMDY0YmNiNTJlNWZkMjhlNDkzNDU4Y2QzMTZjYTcifQ=="/>
  </w:docVars>
  <w:rsids>
    <w:rsidRoot w:val="00172A27"/>
    <w:rsid w:val="0004294D"/>
    <w:rsid w:val="00076591"/>
    <w:rsid w:val="000D1918"/>
    <w:rsid w:val="000F799A"/>
    <w:rsid w:val="001E1269"/>
    <w:rsid w:val="00244A7B"/>
    <w:rsid w:val="00265BA7"/>
    <w:rsid w:val="00343A95"/>
    <w:rsid w:val="004175FD"/>
    <w:rsid w:val="00441FC8"/>
    <w:rsid w:val="005F3D01"/>
    <w:rsid w:val="00625FDE"/>
    <w:rsid w:val="006E53AE"/>
    <w:rsid w:val="0073399F"/>
    <w:rsid w:val="00903CA6"/>
    <w:rsid w:val="00987133"/>
    <w:rsid w:val="00B752DE"/>
    <w:rsid w:val="00BC1160"/>
    <w:rsid w:val="00BD6834"/>
    <w:rsid w:val="00D465D5"/>
    <w:rsid w:val="00DD5EFA"/>
    <w:rsid w:val="00E43DFB"/>
    <w:rsid w:val="00FA7561"/>
    <w:rsid w:val="076D374E"/>
    <w:rsid w:val="11F2097D"/>
    <w:rsid w:val="16FC47B8"/>
    <w:rsid w:val="17636C08"/>
    <w:rsid w:val="195A6CF6"/>
    <w:rsid w:val="1B562253"/>
    <w:rsid w:val="1C9F6334"/>
    <w:rsid w:val="24201257"/>
    <w:rsid w:val="2D9519C3"/>
    <w:rsid w:val="36716B17"/>
    <w:rsid w:val="3D0F50C1"/>
    <w:rsid w:val="4B033754"/>
    <w:rsid w:val="4EED34E2"/>
    <w:rsid w:val="508634C3"/>
    <w:rsid w:val="57C35C95"/>
    <w:rsid w:val="589B7671"/>
    <w:rsid w:val="5BC4531C"/>
    <w:rsid w:val="67874F61"/>
    <w:rsid w:val="6E6659EE"/>
    <w:rsid w:val="784E069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8">
    <w:name w:val="Default Paragraph Font"/>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Normal Indent"/>
    <w:basedOn w:val="1"/>
    <w:unhideWhenUsed/>
    <w:qFormat/>
    <w:uiPriority w:val="99"/>
    <w:pPr>
      <w:ind w:firstLine="200" w:firstLineChars="200"/>
    </w:pPr>
    <w:rPr>
      <w:rFonts w:ascii="Times New Roman" w:hAnsi="Times New Roman"/>
      <w:szCs w:val="24"/>
    </w:rPr>
  </w:style>
  <w:style w:type="paragraph" w:styleId="3">
    <w:name w:val="Balloon Text"/>
    <w:basedOn w:val="1"/>
    <w:link w:val="9"/>
    <w:uiPriority w:val="0"/>
    <w:rPr>
      <w:sz w:val="18"/>
      <w:szCs w:val="18"/>
    </w:r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100" w:beforeAutospacing="1" w:after="100" w:afterAutospacing="1"/>
      <w:jc w:val="left"/>
    </w:pPr>
    <w:rPr>
      <w:kern w:val="0"/>
      <w:sz w:val="24"/>
      <w:szCs w:val="24"/>
    </w:rPr>
  </w:style>
  <w:style w:type="character" w:customStyle="1" w:styleId="9">
    <w:name w:val="批注框文本 Char"/>
    <w:basedOn w:val="8"/>
    <w:link w:val="3"/>
    <w:uiPriority w:val="0"/>
    <w:rPr>
      <w:sz w:val="18"/>
      <w:szCs w:val="18"/>
    </w:rPr>
  </w:style>
  <w:style w:type="character" w:customStyle="1" w:styleId="10">
    <w:name w:val="页脚 Char"/>
    <w:basedOn w:val="8"/>
    <w:link w:val="4"/>
    <w:uiPriority w:val="0"/>
    <w:rPr>
      <w:sz w:val="18"/>
      <w:szCs w:val="18"/>
    </w:rPr>
  </w:style>
  <w:style w:type="character" w:customStyle="1" w:styleId="11">
    <w:name w:val="页眉 Char"/>
    <w:basedOn w:val="8"/>
    <w:link w:val="5"/>
    <w:uiPriority w:val="0"/>
    <w:rPr>
      <w:sz w:val="18"/>
      <w:szCs w:val="18"/>
    </w:rPr>
  </w:style>
  <w:style w:type="paragraph" w:customStyle="1" w:styleId="12">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15</Pages>
  <Words>665</Words>
  <Characters>3795</Characters>
  <Lines>31</Lines>
  <Paragraphs>8</Paragraphs>
  <TotalTime>0</TotalTime>
  <ScaleCrop>false</ScaleCrop>
  <LinksUpToDate>false</LinksUpToDate>
  <CharactersWithSpaces>4452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2021-09-14T04:45:00Z</dcterms:created>
  <dc:creator>李嘉玉</dc:creator>
  <cp:lastModifiedBy>周强</cp:lastModifiedBy>
  <cp:lastPrinted>2021-07-30T09:51:00Z</cp:lastPrinted>
  <dcterms:modified xsi:type="dcterms:W3CDTF">2024-01-29T02:04:12Z</dcterms:modified>
  <dc:title>李嘉玉</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7F3D6F7EA7164CB79A609B1402CA2133_13</vt:lpwstr>
  </property>
</Properties>
</file>